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6"/>
        <w:ind w:firstLine="560"/>
        <w:rPr>
          <w:color w:val="auto"/>
          <w:highlight w:val="none"/>
        </w:rPr>
      </w:pPr>
    </w:p>
    <w:p>
      <w:pPr>
        <w:pStyle w:val="46"/>
        <w:ind w:firstLine="560"/>
        <w:rPr>
          <w:color w:val="auto"/>
          <w:highlight w:val="none"/>
        </w:rPr>
      </w:pPr>
    </w:p>
    <w:p>
      <w:pPr>
        <w:pStyle w:val="46"/>
        <w:ind w:firstLine="560"/>
        <w:rPr>
          <w:color w:val="auto"/>
          <w:highlight w:val="none"/>
        </w:rPr>
      </w:pPr>
    </w:p>
    <w:p>
      <w:pPr>
        <w:pStyle w:val="46"/>
        <w:ind w:firstLine="560"/>
        <w:rPr>
          <w:color w:val="auto"/>
          <w:highlight w:val="none"/>
        </w:rPr>
      </w:pPr>
    </w:p>
    <w:p>
      <w:pPr>
        <w:spacing w:line="480" w:lineRule="auto"/>
        <w:jc w:val="center"/>
        <w:rPr>
          <w:rFonts w:ascii="宋体" w:hAnsi="宋体"/>
          <w:b/>
          <w:color w:val="auto"/>
          <w:sz w:val="52"/>
          <w:szCs w:val="20"/>
          <w:highlight w:val="none"/>
        </w:rPr>
      </w:pPr>
      <w:r>
        <w:rPr>
          <w:rFonts w:hint="eastAsia" w:ascii="宋体" w:hAnsi="宋体"/>
          <w:b/>
          <w:color w:val="auto"/>
          <w:sz w:val="52"/>
          <w:szCs w:val="20"/>
          <w:highlight w:val="none"/>
        </w:rPr>
        <w:t>湖南省粮油食品进出口集团有限公司</w:t>
      </w:r>
    </w:p>
    <w:p>
      <w:pPr>
        <w:ind w:right="-315" w:rightChars="-150"/>
        <w:jc w:val="center"/>
        <w:rPr>
          <w:rFonts w:ascii="宋体" w:hAnsi="宋体"/>
          <w:b/>
          <w:color w:val="auto"/>
          <w:sz w:val="84"/>
          <w:szCs w:val="20"/>
          <w:highlight w:val="none"/>
        </w:rPr>
      </w:pPr>
      <w:r>
        <w:rPr>
          <w:rFonts w:hint="eastAsia" w:ascii="宋体" w:hAnsi="宋体"/>
          <w:b/>
          <w:color w:val="auto"/>
          <w:sz w:val="84"/>
          <w:szCs w:val="20"/>
          <w:highlight w:val="none"/>
        </w:rPr>
        <w:t>竞争性磋商</w:t>
      </w:r>
      <w:r>
        <w:rPr>
          <w:rFonts w:ascii="宋体" w:hAnsi="宋体"/>
          <w:b/>
          <w:color w:val="auto"/>
          <w:sz w:val="84"/>
          <w:szCs w:val="20"/>
          <w:highlight w:val="none"/>
        </w:rPr>
        <w:t>文件</w:t>
      </w:r>
    </w:p>
    <w:p>
      <w:pPr>
        <w:rPr>
          <w:color w:val="auto"/>
          <w:highlight w:val="none"/>
        </w:rPr>
      </w:pPr>
    </w:p>
    <w:p>
      <w:pPr>
        <w:pStyle w:val="31"/>
        <w:spacing w:before="0" w:beforeAutospacing="0" w:after="0" w:afterAutospacing="0" w:line="360" w:lineRule="auto"/>
        <w:jc w:val="center"/>
        <w:rPr>
          <w:rFonts w:ascii="Times New Roman" w:hAnsi="Times New Roman" w:cs="Times New Roman"/>
          <w:b/>
          <w:bCs/>
          <w:color w:val="auto"/>
          <w:sz w:val="30"/>
          <w:szCs w:val="30"/>
          <w:highlight w:val="none"/>
        </w:rPr>
      </w:pPr>
    </w:p>
    <w:p>
      <w:pPr>
        <w:pStyle w:val="31"/>
        <w:spacing w:before="0" w:beforeAutospacing="0" w:after="0" w:afterAutospacing="0" w:line="360" w:lineRule="auto"/>
        <w:jc w:val="center"/>
        <w:rPr>
          <w:rFonts w:ascii="Times New Roman" w:hAnsi="Times New Roman" w:cs="Times New Roman"/>
          <w:b/>
          <w:bCs/>
          <w:color w:val="auto"/>
          <w:sz w:val="30"/>
          <w:szCs w:val="30"/>
          <w:highlight w:val="none"/>
        </w:rPr>
      </w:pPr>
    </w:p>
    <w:p>
      <w:pPr>
        <w:pStyle w:val="31"/>
        <w:spacing w:before="0" w:beforeAutospacing="0" w:after="0" w:afterAutospacing="0" w:line="360" w:lineRule="auto"/>
        <w:jc w:val="center"/>
        <w:rPr>
          <w:rFonts w:ascii="Times New Roman" w:hAnsi="Times New Roman" w:cs="Times New Roman"/>
          <w:b/>
          <w:bCs/>
          <w:color w:val="auto"/>
          <w:sz w:val="30"/>
          <w:szCs w:val="30"/>
          <w:highlight w:val="none"/>
        </w:rPr>
      </w:pPr>
    </w:p>
    <w:p>
      <w:pPr>
        <w:pStyle w:val="31"/>
        <w:spacing w:before="0" w:beforeAutospacing="0" w:after="0" w:afterAutospacing="0" w:line="360" w:lineRule="auto"/>
        <w:jc w:val="center"/>
        <w:rPr>
          <w:rFonts w:ascii="Times New Roman" w:hAnsi="Times New Roman" w:cs="Times New Roman"/>
          <w:b/>
          <w:bCs/>
          <w:color w:val="auto"/>
          <w:sz w:val="30"/>
          <w:szCs w:val="30"/>
          <w:highlight w:val="none"/>
        </w:rPr>
      </w:pPr>
    </w:p>
    <w:p>
      <w:pPr>
        <w:pStyle w:val="31"/>
        <w:spacing w:before="0" w:beforeAutospacing="0" w:after="0" w:afterAutospacing="0" w:line="360" w:lineRule="auto"/>
        <w:jc w:val="center"/>
        <w:rPr>
          <w:rFonts w:ascii="Times New Roman" w:hAnsi="Times New Roman" w:cs="Times New Roman"/>
          <w:b/>
          <w:bCs/>
          <w:color w:val="auto"/>
          <w:sz w:val="30"/>
          <w:szCs w:val="30"/>
          <w:highlight w:val="none"/>
        </w:rPr>
      </w:pPr>
    </w:p>
    <w:p>
      <w:pPr>
        <w:pStyle w:val="31"/>
        <w:spacing w:before="0" w:beforeAutospacing="0" w:after="0" w:afterAutospacing="0" w:line="360" w:lineRule="auto"/>
        <w:jc w:val="center"/>
        <w:rPr>
          <w:rFonts w:ascii="Times New Roman" w:hAnsi="Times New Roman" w:cs="Times New Roman"/>
          <w:b/>
          <w:bCs/>
          <w:color w:val="auto"/>
          <w:sz w:val="30"/>
          <w:szCs w:val="30"/>
          <w:highlight w:val="none"/>
        </w:rPr>
      </w:pPr>
    </w:p>
    <w:p>
      <w:pPr>
        <w:pStyle w:val="31"/>
        <w:spacing w:before="0" w:beforeAutospacing="0" w:after="0" w:afterAutospacing="0" w:line="360" w:lineRule="auto"/>
        <w:jc w:val="center"/>
        <w:rPr>
          <w:rFonts w:ascii="Times New Roman" w:hAnsi="Times New Roman" w:cs="Times New Roman"/>
          <w:b/>
          <w:bCs/>
          <w:color w:val="auto"/>
          <w:sz w:val="30"/>
          <w:szCs w:val="30"/>
          <w:highlight w:val="none"/>
        </w:rPr>
      </w:pPr>
    </w:p>
    <w:p>
      <w:pPr>
        <w:adjustRightInd w:val="0"/>
        <w:snapToGrid w:val="0"/>
        <w:spacing w:line="360" w:lineRule="auto"/>
        <w:ind w:firstLine="1285" w:firstLineChars="400"/>
        <w:jc w:val="left"/>
        <w:rPr>
          <w:rFonts w:ascii="宋体" w:hAnsi="宋体"/>
          <w:b/>
          <w:color w:val="auto"/>
          <w:sz w:val="32"/>
          <w:szCs w:val="32"/>
          <w:highlight w:val="none"/>
        </w:rPr>
      </w:pPr>
      <w:r>
        <w:rPr>
          <w:rFonts w:hint="eastAsia" w:ascii="宋体" w:hAnsi="宋体"/>
          <w:b/>
          <w:color w:val="auto"/>
          <w:sz w:val="32"/>
          <w:szCs w:val="32"/>
          <w:highlight w:val="none"/>
        </w:rPr>
        <w:t>项目名称：办公大楼601会议室升级改造项目</w:t>
      </w:r>
    </w:p>
    <w:p>
      <w:pPr>
        <w:adjustRightInd w:val="0"/>
        <w:snapToGrid w:val="0"/>
        <w:spacing w:line="360" w:lineRule="auto"/>
        <w:ind w:firstLine="1285" w:firstLineChars="400"/>
        <w:jc w:val="left"/>
        <w:rPr>
          <w:rFonts w:ascii="宋体" w:hAnsi="宋体"/>
          <w:b/>
          <w:color w:val="auto"/>
          <w:sz w:val="32"/>
          <w:szCs w:val="32"/>
          <w:highlight w:val="none"/>
        </w:rPr>
      </w:pPr>
    </w:p>
    <w:p>
      <w:pPr>
        <w:adjustRightInd w:val="0"/>
        <w:snapToGrid w:val="0"/>
        <w:spacing w:line="360" w:lineRule="auto"/>
        <w:ind w:firstLine="1285" w:firstLineChars="400"/>
        <w:rPr>
          <w:rFonts w:ascii="宋体" w:hAnsi="宋体"/>
          <w:b/>
          <w:color w:val="auto"/>
          <w:sz w:val="32"/>
          <w:szCs w:val="32"/>
          <w:highlight w:val="none"/>
          <w:u w:val="single"/>
        </w:rPr>
      </w:pPr>
      <w:r>
        <w:rPr>
          <w:rFonts w:hint="eastAsia" w:ascii="宋体" w:hAnsi="宋体"/>
          <w:b/>
          <w:color w:val="auto"/>
          <w:sz w:val="32"/>
          <w:szCs w:val="32"/>
          <w:highlight w:val="none"/>
        </w:rPr>
        <w:t>邀请单位：湖南省粮油食品进出口集团有限公司</w:t>
      </w:r>
    </w:p>
    <w:p>
      <w:pPr>
        <w:pStyle w:val="31"/>
        <w:spacing w:before="0" w:beforeAutospacing="0" w:after="0" w:afterAutospacing="0" w:line="360" w:lineRule="auto"/>
        <w:jc w:val="center"/>
        <w:rPr>
          <w:rFonts w:ascii="Times New Roman" w:hAnsi="Times New Roman" w:cs="Times New Roman"/>
          <w:b/>
          <w:bCs/>
          <w:color w:val="auto"/>
          <w:sz w:val="30"/>
          <w:szCs w:val="30"/>
          <w:highlight w:val="none"/>
        </w:rPr>
      </w:pPr>
    </w:p>
    <w:p>
      <w:pPr>
        <w:pStyle w:val="31"/>
        <w:spacing w:before="0" w:beforeAutospacing="0" w:after="0" w:afterAutospacing="0" w:line="360" w:lineRule="auto"/>
        <w:rPr>
          <w:rFonts w:ascii="仿宋" w:hAnsi="仿宋" w:eastAsia="仿宋" w:cs="仿宋"/>
          <w:b/>
          <w:bCs/>
          <w:color w:val="auto"/>
          <w:sz w:val="32"/>
          <w:szCs w:val="32"/>
          <w:highlight w:val="none"/>
        </w:rPr>
      </w:pPr>
    </w:p>
    <w:p>
      <w:pPr>
        <w:pStyle w:val="31"/>
        <w:spacing w:before="0" w:beforeAutospacing="0" w:after="0" w:afterAutospacing="0" w:line="480" w:lineRule="auto"/>
        <w:ind w:firstLine="1124" w:firstLineChars="350"/>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 xml:space="preserve">  </w:t>
      </w:r>
    </w:p>
    <w:p>
      <w:pPr>
        <w:widowControl/>
        <w:ind w:firstLine="3855" w:firstLineChars="1200"/>
        <w:jc w:val="left"/>
        <w:rPr>
          <w:b/>
          <w:bCs/>
          <w:color w:val="auto"/>
          <w:kern w:val="0"/>
          <w:sz w:val="32"/>
          <w:szCs w:val="32"/>
          <w:highlight w:val="none"/>
        </w:rPr>
      </w:pPr>
      <w:r>
        <w:rPr>
          <w:rFonts w:hint="eastAsia" w:ascii="仿宋" w:hAnsi="仿宋" w:eastAsia="仿宋" w:cs="仿宋"/>
          <w:b/>
          <w:bCs/>
          <w:color w:val="auto"/>
          <w:sz w:val="32"/>
          <w:szCs w:val="32"/>
          <w:highlight w:val="none"/>
        </w:rPr>
        <w:t>2024年7月</w:t>
      </w:r>
    </w:p>
    <w:p>
      <w:pPr>
        <w:rPr>
          <w:rFonts w:ascii="宋体" w:hAnsi="宋体"/>
          <w:color w:val="auto"/>
          <w:sz w:val="32"/>
          <w:szCs w:val="32"/>
          <w:highlight w:val="none"/>
        </w:rPr>
      </w:pPr>
      <w:bookmarkStart w:id="0" w:name="_Toc106890491"/>
      <w:r>
        <w:rPr>
          <w:rFonts w:hint="eastAsia" w:ascii="宋体" w:hAnsi="宋体"/>
          <w:color w:val="auto"/>
          <w:sz w:val="32"/>
          <w:szCs w:val="32"/>
          <w:highlight w:val="none"/>
        </w:rPr>
        <w:br w:type="page"/>
      </w:r>
    </w:p>
    <w:p>
      <w:pPr>
        <w:pStyle w:val="2"/>
        <w:jc w:val="center"/>
        <w:rPr>
          <w:rFonts w:ascii="宋体" w:hAnsi="宋体"/>
          <w:color w:val="auto"/>
          <w:sz w:val="32"/>
          <w:szCs w:val="32"/>
          <w:highlight w:val="none"/>
        </w:rPr>
      </w:pPr>
      <w:r>
        <w:rPr>
          <w:rFonts w:hint="eastAsia" w:ascii="宋体" w:hAnsi="宋体"/>
          <w:color w:val="auto"/>
          <w:sz w:val="32"/>
          <w:szCs w:val="32"/>
          <w:highlight w:val="none"/>
        </w:rPr>
        <w:t>第一章 磋商邀请</w:t>
      </w:r>
      <w:bookmarkEnd w:id="0"/>
    </w:p>
    <w:p>
      <w:pPr>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(被邀请供应商名称)：</w:t>
      </w:r>
    </w:p>
    <w:p>
      <w:pPr>
        <w:adjustRightInd w:val="0"/>
        <w:snapToGrid w:val="0"/>
        <w:spacing w:line="360" w:lineRule="auto"/>
        <w:ind w:firstLine="630" w:firstLineChars="300"/>
        <w:rPr>
          <w:rFonts w:ascii="宋体" w:hAnsi="宋体"/>
          <w:color w:val="auto"/>
          <w:szCs w:val="21"/>
          <w:highlight w:val="none"/>
        </w:rPr>
      </w:pPr>
      <w:r>
        <w:rPr>
          <w:rFonts w:hint="eastAsia"/>
          <w:color w:val="auto"/>
          <w:highlight w:val="none"/>
          <w:u w:val="single"/>
        </w:rPr>
        <w:t>湖南省粮油食品进出口集团有限公司</w:t>
      </w:r>
      <w:r>
        <w:rPr>
          <w:rFonts w:hint="eastAsia" w:ascii="宋体" w:hAnsi="宋体"/>
          <w:color w:val="auto"/>
          <w:szCs w:val="21"/>
          <w:highlight w:val="none"/>
        </w:rPr>
        <w:t>的</w:t>
      </w:r>
      <w:r>
        <w:rPr>
          <w:rFonts w:hint="eastAsia"/>
          <w:color w:val="auto"/>
          <w:highlight w:val="none"/>
          <w:u w:val="single"/>
        </w:rPr>
        <w:t>办公大楼601会议室升级改造项目</w:t>
      </w:r>
      <w:r>
        <w:rPr>
          <w:rFonts w:hint="eastAsia" w:ascii="宋体" w:hAnsi="宋体"/>
          <w:color w:val="auto"/>
          <w:szCs w:val="21"/>
          <w:highlight w:val="none"/>
        </w:rPr>
        <w:t>进行竞争性磋商采购，邀请你单位参加磋商采购活动。</w:t>
      </w:r>
    </w:p>
    <w:p>
      <w:pPr>
        <w:keepNext/>
        <w:keepLines/>
        <w:adjustRightInd w:val="0"/>
        <w:snapToGrid w:val="0"/>
        <w:spacing w:before="120" w:beforeLines="50" w:line="360" w:lineRule="auto"/>
        <w:outlineLvl w:val="1"/>
        <w:rPr>
          <w:rFonts w:ascii="宋体" w:hAnsi="宋体"/>
          <w:b/>
          <w:bCs/>
          <w:color w:val="auto"/>
          <w:sz w:val="24"/>
          <w:szCs w:val="32"/>
          <w:highlight w:val="none"/>
        </w:rPr>
      </w:pPr>
      <w:bookmarkStart w:id="1" w:name="_Toc22201055"/>
      <w:bookmarkStart w:id="2" w:name="_Toc106890492"/>
      <w:r>
        <w:rPr>
          <w:rFonts w:hint="eastAsia" w:ascii="宋体" w:hAnsi="宋体"/>
          <w:b/>
          <w:bCs/>
          <w:color w:val="auto"/>
          <w:sz w:val="24"/>
          <w:szCs w:val="32"/>
          <w:highlight w:val="none"/>
        </w:rPr>
        <w:t>一、采购项目名称</w:t>
      </w:r>
      <w:bookmarkEnd w:id="1"/>
      <w:bookmarkEnd w:id="2"/>
    </w:p>
    <w:p>
      <w:pPr>
        <w:adjustRightInd w:val="0"/>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1、采购项目名称：</w:t>
      </w:r>
      <w:r>
        <w:rPr>
          <w:rFonts w:hint="eastAsia"/>
          <w:color w:val="auto"/>
          <w:highlight w:val="none"/>
        </w:rPr>
        <w:t>湖南省粮油食品进出口集团有限公司办公大楼601会议室升级改造项目</w:t>
      </w:r>
    </w:p>
    <w:p>
      <w:pPr>
        <w:keepNext/>
        <w:keepLines/>
        <w:adjustRightInd w:val="0"/>
        <w:snapToGrid w:val="0"/>
        <w:spacing w:before="120" w:beforeLines="50" w:line="360" w:lineRule="auto"/>
        <w:outlineLvl w:val="1"/>
        <w:rPr>
          <w:rFonts w:ascii="宋体" w:hAnsi="宋体"/>
          <w:b/>
          <w:bCs/>
          <w:color w:val="auto"/>
          <w:sz w:val="24"/>
          <w:szCs w:val="32"/>
          <w:highlight w:val="none"/>
        </w:rPr>
      </w:pPr>
      <w:bookmarkStart w:id="3" w:name="_Toc106890493"/>
      <w:bookmarkStart w:id="4" w:name="_Toc22201056"/>
      <w:r>
        <w:rPr>
          <w:rFonts w:hint="eastAsia" w:ascii="宋体" w:hAnsi="宋体"/>
          <w:b/>
          <w:bCs/>
          <w:color w:val="auto"/>
          <w:sz w:val="24"/>
          <w:szCs w:val="32"/>
          <w:highlight w:val="none"/>
        </w:rPr>
        <w:t>二、采购人的采购需求</w:t>
      </w:r>
      <w:bookmarkEnd w:id="3"/>
      <w:bookmarkEnd w:id="4"/>
    </w:p>
    <w:tbl>
      <w:tblPr>
        <w:tblStyle w:val="37"/>
        <w:tblW w:w="8930" w:type="dxa"/>
        <w:tblInd w:w="534" w:type="dxa"/>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667"/>
        <w:gridCol w:w="1945"/>
        <w:gridCol w:w="1498"/>
        <w:gridCol w:w="1134"/>
        <w:gridCol w:w="1984"/>
        <w:gridCol w:w="1702"/>
      </w:tblGrid>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03" w:hRule="atLeast"/>
        </w:trPr>
        <w:tc>
          <w:tcPr>
            <w:tcW w:w="667" w:type="dxa"/>
            <w:tcBorders>
              <w:right w:val="single" w:color="auto" w:sz="4" w:space="0"/>
            </w:tcBorders>
            <w:shd w:val="clear" w:color="auto" w:fill="auto"/>
            <w:vAlign w:val="center"/>
          </w:tcPr>
          <w:p>
            <w:pPr>
              <w:widowControl/>
              <w:adjustRightInd w:val="0"/>
              <w:snapToGrid w:val="0"/>
              <w:spacing w:before="120" w:beforeLines="50"/>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1945" w:type="dxa"/>
            <w:tcBorders>
              <w:left w:val="single" w:color="auto" w:sz="4" w:space="0"/>
            </w:tcBorders>
            <w:shd w:val="clear" w:color="auto" w:fill="auto"/>
            <w:vAlign w:val="center"/>
          </w:tcPr>
          <w:p>
            <w:pPr>
              <w:widowControl/>
              <w:adjustRightInd w:val="0"/>
              <w:snapToGrid w:val="0"/>
              <w:spacing w:before="120" w:beforeLines="50"/>
              <w:jc w:val="center"/>
              <w:rPr>
                <w:rFonts w:ascii="宋体" w:hAnsi="宋体" w:cs="宋体"/>
                <w:color w:val="auto"/>
                <w:kern w:val="0"/>
                <w:szCs w:val="21"/>
                <w:highlight w:val="none"/>
              </w:rPr>
            </w:pPr>
            <w:r>
              <w:rPr>
                <w:rFonts w:hint="eastAsia" w:ascii="宋体" w:hAnsi="宋体"/>
                <w:color w:val="auto"/>
                <w:kern w:val="0"/>
                <w:highlight w:val="none"/>
              </w:rPr>
              <w:t>包名称</w:t>
            </w:r>
          </w:p>
        </w:tc>
        <w:tc>
          <w:tcPr>
            <w:tcW w:w="1498" w:type="dxa"/>
            <w:tcBorders>
              <w:right w:val="single" w:color="auto" w:sz="4" w:space="0"/>
            </w:tcBorders>
            <w:shd w:val="clear" w:color="auto" w:fill="auto"/>
            <w:vAlign w:val="center"/>
          </w:tcPr>
          <w:p>
            <w:pPr>
              <w:widowControl/>
              <w:adjustRightInd w:val="0"/>
              <w:snapToGrid w:val="0"/>
              <w:spacing w:before="120" w:beforeLines="50"/>
              <w:jc w:val="center"/>
              <w:rPr>
                <w:rFonts w:ascii="宋体" w:hAnsi="宋体" w:cs="宋体"/>
                <w:color w:val="auto"/>
                <w:kern w:val="0"/>
                <w:szCs w:val="21"/>
                <w:highlight w:val="none"/>
              </w:rPr>
            </w:pPr>
            <w:r>
              <w:rPr>
                <w:rFonts w:hint="eastAsia" w:ascii="宋体" w:hAnsi="宋体" w:cs="宋体"/>
                <w:color w:val="auto"/>
                <w:kern w:val="0"/>
                <w:szCs w:val="21"/>
                <w:highlight w:val="none"/>
              </w:rPr>
              <w:t>简要技术要求</w:t>
            </w:r>
          </w:p>
        </w:tc>
        <w:tc>
          <w:tcPr>
            <w:tcW w:w="1134" w:type="dxa"/>
            <w:tcBorders>
              <w:left w:val="single" w:color="auto" w:sz="4" w:space="0"/>
              <w:right w:val="single" w:color="auto" w:sz="4" w:space="0"/>
            </w:tcBorders>
            <w:shd w:val="clear" w:color="auto" w:fill="auto"/>
            <w:vAlign w:val="center"/>
          </w:tcPr>
          <w:p>
            <w:pPr>
              <w:widowControl/>
              <w:adjustRightInd w:val="0"/>
              <w:snapToGrid w:val="0"/>
              <w:spacing w:before="120" w:beforeLines="50"/>
              <w:jc w:val="center"/>
              <w:rPr>
                <w:rFonts w:ascii="宋体" w:hAnsi="宋体"/>
                <w:color w:val="auto"/>
                <w:highlight w:val="none"/>
              </w:rPr>
            </w:pPr>
            <w:r>
              <w:rPr>
                <w:rFonts w:hint="eastAsia" w:ascii="宋体" w:hAnsi="宋体"/>
                <w:color w:val="auto"/>
                <w:highlight w:val="none"/>
              </w:rPr>
              <w:t>数量（项</w:t>
            </w:r>
            <w:r>
              <w:rPr>
                <w:rFonts w:hint="eastAsia" w:ascii="宋体" w:hAnsi="宋体" w:cs="宋体"/>
                <w:color w:val="auto"/>
                <w:kern w:val="0"/>
                <w:szCs w:val="21"/>
                <w:highlight w:val="none"/>
              </w:rPr>
              <w:t>）</w:t>
            </w:r>
          </w:p>
        </w:tc>
        <w:tc>
          <w:tcPr>
            <w:tcW w:w="1984" w:type="dxa"/>
            <w:tcBorders>
              <w:left w:val="single" w:color="auto" w:sz="4" w:space="0"/>
              <w:right w:val="single" w:color="auto" w:sz="4" w:space="0"/>
            </w:tcBorders>
            <w:shd w:val="clear" w:color="auto" w:fill="auto"/>
            <w:vAlign w:val="center"/>
          </w:tcPr>
          <w:p>
            <w:pPr>
              <w:widowControl/>
              <w:adjustRightInd w:val="0"/>
              <w:snapToGrid w:val="0"/>
              <w:spacing w:before="120" w:beforeLines="50"/>
              <w:jc w:val="center"/>
              <w:rPr>
                <w:rFonts w:ascii="宋体" w:hAnsi="宋体" w:cs="宋体"/>
                <w:color w:val="auto"/>
                <w:kern w:val="0"/>
                <w:szCs w:val="21"/>
                <w:highlight w:val="none"/>
              </w:rPr>
            </w:pPr>
            <w:r>
              <w:rPr>
                <w:rFonts w:hint="eastAsia" w:ascii="宋体" w:hAnsi="宋体" w:cs="宋体"/>
                <w:color w:val="auto"/>
                <w:kern w:val="0"/>
                <w:szCs w:val="21"/>
                <w:highlight w:val="none"/>
              </w:rPr>
              <w:t>采购项目预算</w:t>
            </w:r>
          </w:p>
          <w:p>
            <w:pPr>
              <w:widowControl/>
              <w:adjustRightInd w:val="0"/>
              <w:snapToGrid w:val="0"/>
              <w:spacing w:before="120" w:beforeLines="50"/>
              <w:jc w:val="center"/>
              <w:rPr>
                <w:rFonts w:ascii="宋体" w:hAnsi="宋体" w:cs="宋体"/>
                <w:color w:val="auto"/>
                <w:kern w:val="0"/>
                <w:szCs w:val="21"/>
                <w:highlight w:val="none"/>
              </w:rPr>
            </w:pPr>
            <w:r>
              <w:rPr>
                <w:rFonts w:hint="eastAsia" w:ascii="宋体" w:hAnsi="宋体" w:cs="宋体"/>
                <w:color w:val="auto"/>
                <w:kern w:val="0"/>
                <w:szCs w:val="21"/>
                <w:highlight w:val="none"/>
              </w:rPr>
              <w:t>（元/人民币）</w:t>
            </w:r>
          </w:p>
        </w:tc>
        <w:tc>
          <w:tcPr>
            <w:tcW w:w="1702" w:type="dxa"/>
            <w:vAlign w:val="center"/>
          </w:tcPr>
          <w:p>
            <w:pPr>
              <w:widowControl/>
              <w:adjustRightInd w:val="0"/>
              <w:snapToGrid w:val="0"/>
              <w:spacing w:before="120" w:beforeLines="50"/>
              <w:jc w:val="center"/>
              <w:rPr>
                <w:rFonts w:ascii="宋体" w:hAnsi="宋体" w:cs="宋体"/>
                <w:color w:val="auto"/>
                <w:kern w:val="0"/>
                <w:szCs w:val="21"/>
                <w:highlight w:val="none"/>
              </w:rPr>
            </w:pPr>
            <w:r>
              <w:rPr>
                <w:rFonts w:hint="eastAsia" w:ascii="宋体" w:hAnsi="宋体" w:cs="宋体"/>
                <w:color w:val="auto"/>
                <w:kern w:val="0"/>
                <w:szCs w:val="21"/>
                <w:highlight w:val="none"/>
              </w:rPr>
              <w:t>采购项目最高限价（元/人民币）</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287" w:hRule="atLeast"/>
        </w:trPr>
        <w:tc>
          <w:tcPr>
            <w:tcW w:w="667" w:type="dxa"/>
            <w:tcBorders>
              <w:right w:val="single" w:color="auto" w:sz="4" w:space="0"/>
            </w:tcBorders>
            <w:shd w:val="clear" w:color="auto" w:fill="auto"/>
            <w:vAlign w:val="center"/>
          </w:tcPr>
          <w:p>
            <w:pPr>
              <w:adjustRightInd w:val="0"/>
              <w:snapToGrid w:val="0"/>
              <w:spacing w:before="120" w:beforeLines="50" w:line="276" w:lineRule="auto"/>
              <w:jc w:val="center"/>
              <w:rPr>
                <w:rFonts w:ascii="宋体" w:hAnsi="宋体" w:cs="Courier New"/>
                <w:color w:val="auto"/>
                <w:kern w:val="0"/>
                <w:szCs w:val="21"/>
                <w:highlight w:val="none"/>
              </w:rPr>
            </w:pPr>
            <w:r>
              <w:rPr>
                <w:rFonts w:hint="eastAsia" w:ascii="宋体" w:hAnsi="宋体" w:cs="Courier New"/>
                <w:color w:val="auto"/>
                <w:kern w:val="0"/>
                <w:szCs w:val="21"/>
                <w:highlight w:val="none"/>
              </w:rPr>
              <w:t>01</w:t>
            </w:r>
          </w:p>
        </w:tc>
        <w:tc>
          <w:tcPr>
            <w:tcW w:w="1945" w:type="dxa"/>
            <w:tcBorders>
              <w:left w:val="single" w:color="auto" w:sz="4" w:space="0"/>
            </w:tcBorders>
            <w:shd w:val="clear" w:color="auto" w:fill="auto"/>
            <w:vAlign w:val="center"/>
          </w:tcPr>
          <w:p>
            <w:pPr>
              <w:adjustRightInd w:val="0"/>
              <w:snapToGrid w:val="0"/>
              <w:spacing w:before="120" w:beforeLines="50" w:line="276" w:lineRule="auto"/>
              <w:rPr>
                <w:rFonts w:ascii="宋体" w:hAnsi="宋体" w:cs="Courier New"/>
                <w:color w:val="auto"/>
                <w:kern w:val="0"/>
                <w:szCs w:val="21"/>
                <w:highlight w:val="none"/>
              </w:rPr>
            </w:pPr>
            <w:r>
              <w:rPr>
                <w:rFonts w:hint="eastAsia"/>
                <w:color w:val="auto"/>
                <w:highlight w:val="none"/>
              </w:rPr>
              <w:t>湖南省粮油食品进出口集团有限公司办公大楼601会议室升级改造项目</w:t>
            </w:r>
          </w:p>
        </w:tc>
        <w:tc>
          <w:tcPr>
            <w:tcW w:w="1498" w:type="dxa"/>
            <w:tcBorders>
              <w:right w:val="single" w:color="auto" w:sz="4" w:space="0"/>
            </w:tcBorders>
            <w:shd w:val="clear" w:color="auto" w:fill="auto"/>
            <w:vAlign w:val="center"/>
          </w:tcPr>
          <w:p>
            <w:pPr>
              <w:adjustRightInd w:val="0"/>
              <w:snapToGrid w:val="0"/>
              <w:spacing w:before="120" w:beforeLines="50" w:line="276" w:lineRule="auto"/>
              <w:jc w:val="center"/>
              <w:rPr>
                <w:rFonts w:ascii="宋体" w:hAnsi="宋体" w:cs="Courier New"/>
                <w:color w:val="auto"/>
                <w:kern w:val="0"/>
                <w:szCs w:val="21"/>
                <w:highlight w:val="none"/>
              </w:rPr>
            </w:pPr>
            <w:r>
              <w:rPr>
                <w:rFonts w:hint="eastAsia" w:ascii="宋体" w:hAnsi="宋体" w:cs="Courier New"/>
                <w:color w:val="auto"/>
                <w:kern w:val="0"/>
                <w:szCs w:val="21"/>
                <w:highlight w:val="none"/>
              </w:rPr>
              <w:t>详见采购需求</w:t>
            </w:r>
          </w:p>
        </w:tc>
        <w:tc>
          <w:tcPr>
            <w:tcW w:w="1134" w:type="dxa"/>
            <w:tcBorders>
              <w:left w:val="single" w:color="auto" w:sz="4" w:space="0"/>
              <w:right w:val="single" w:color="auto" w:sz="4" w:space="0"/>
            </w:tcBorders>
            <w:shd w:val="clear" w:color="auto" w:fill="auto"/>
            <w:vAlign w:val="center"/>
          </w:tcPr>
          <w:p>
            <w:pPr>
              <w:adjustRightInd w:val="0"/>
              <w:snapToGrid w:val="0"/>
              <w:spacing w:before="120" w:beforeLines="50" w:line="276" w:lineRule="auto"/>
              <w:jc w:val="center"/>
              <w:rPr>
                <w:rFonts w:ascii="宋体" w:hAnsi="宋体" w:cs="Courier New"/>
                <w:color w:val="auto"/>
                <w:kern w:val="0"/>
                <w:szCs w:val="21"/>
                <w:highlight w:val="none"/>
              </w:rPr>
            </w:pPr>
            <w:r>
              <w:rPr>
                <w:rFonts w:hint="eastAsia" w:ascii="宋体" w:hAnsi="宋体" w:cs="Courier New"/>
                <w:color w:val="auto"/>
                <w:kern w:val="0"/>
                <w:szCs w:val="21"/>
                <w:highlight w:val="none"/>
              </w:rPr>
              <w:t>1</w:t>
            </w:r>
          </w:p>
        </w:tc>
        <w:tc>
          <w:tcPr>
            <w:tcW w:w="1984" w:type="dxa"/>
            <w:tcBorders>
              <w:left w:val="single" w:color="auto" w:sz="4" w:space="0"/>
              <w:right w:val="single" w:color="auto" w:sz="4" w:space="0"/>
            </w:tcBorders>
            <w:shd w:val="clear" w:color="auto" w:fill="auto"/>
            <w:vAlign w:val="center"/>
          </w:tcPr>
          <w:p>
            <w:pPr>
              <w:widowControl/>
              <w:adjustRightInd w:val="0"/>
              <w:snapToGrid w:val="0"/>
              <w:spacing w:before="120" w:beforeLines="50"/>
              <w:jc w:val="center"/>
              <w:rPr>
                <w:rFonts w:ascii="宋体" w:hAnsi="宋体" w:cs="宋体"/>
                <w:color w:val="auto"/>
                <w:kern w:val="0"/>
                <w:szCs w:val="21"/>
                <w:highlight w:val="none"/>
              </w:rPr>
            </w:pPr>
            <w:r>
              <w:rPr>
                <w:rFonts w:ascii="宋体" w:hAnsi="宋体" w:cs="宋体"/>
                <w:color w:val="auto"/>
                <w:kern w:val="0"/>
                <w:szCs w:val="21"/>
                <w:highlight w:val="none"/>
              </w:rPr>
              <w:t>300,000.00</w:t>
            </w:r>
          </w:p>
        </w:tc>
        <w:tc>
          <w:tcPr>
            <w:tcW w:w="1702" w:type="dxa"/>
            <w:vAlign w:val="center"/>
          </w:tcPr>
          <w:p>
            <w:pPr>
              <w:widowControl/>
              <w:adjustRightInd w:val="0"/>
              <w:snapToGrid w:val="0"/>
              <w:spacing w:before="120" w:beforeLines="50"/>
              <w:jc w:val="center"/>
              <w:rPr>
                <w:rFonts w:ascii="宋体" w:hAnsi="宋体" w:cs="宋体"/>
                <w:color w:val="auto"/>
                <w:kern w:val="0"/>
                <w:szCs w:val="21"/>
                <w:highlight w:val="none"/>
              </w:rPr>
            </w:pPr>
            <w:r>
              <w:rPr>
                <w:rFonts w:ascii="宋体" w:hAnsi="宋体" w:cs="宋体"/>
                <w:color w:val="auto"/>
                <w:kern w:val="0"/>
                <w:szCs w:val="21"/>
                <w:highlight w:val="none"/>
              </w:rPr>
              <w:t>300,000.00</w:t>
            </w:r>
          </w:p>
        </w:tc>
      </w:tr>
    </w:tbl>
    <w:p>
      <w:pPr>
        <w:adjustRightInd w:val="0"/>
        <w:snapToGrid w:val="0"/>
        <w:spacing w:before="120" w:beforeLines="50" w:line="360" w:lineRule="auto"/>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w:t>
      </w:r>
      <w:r>
        <w:rPr>
          <w:rFonts w:hint="eastAsia" w:ascii="宋体" w:hAnsi="宋体"/>
          <w:b/>
          <w:color w:val="auto"/>
          <w:szCs w:val="21"/>
          <w:highlight w:val="none"/>
        </w:rPr>
        <w:t>采购进口产品</w:t>
      </w:r>
      <w:r>
        <w:rPr>
          <w:rFonts w:hint="eastAsia" w:ascii="宋体" w:hAnsi="宋体"/>
          <w:color w:val="auto"/>
          <w:szCs w:val="21"/>
          <w:highlight w:val="none"/>
        </w:rPr>
        <w:t>：本项目（</w:t>
      </w:r>
      <w:r>
        <w:rPr>
          <w:rFonts w:hint="eastAsia" w:ascii="宋体" w:hAnsi="宋体"/>
          <w:color w:val="auto"/>
          <w:szCs w:val="21"/>
          <w:highlight w:val="none"/>
          <w:u w:val="single"/>
        </w:rPr>
        <w:t>拒绝</w:t>
      </w:r>
      <w:r>
        <w:rPr>
          <w:rFonts w:hint="eastAsia" w:ascii="宋体" w:hAnsi="宋体"/>
          <w:color w:val="auto"/>
          <w:szCs w:val="21"/>
          <w:highlight w:val="none"/>
        </w:rPr>
        <w:t>）进口产品参加磋商采购。</w:t>
      </w:r>
    </w:p>
    <w:p>
      <w:pPr>
        <w:keepNext/>
        <w:keepLines/>
        <w:adjustRightInd w:val="0"/>
        <w:snapToGrid w:val="0"/>
        <w:spacing w:before="120" w:beforeLines="50" w:line="360" w:lineRule="auto"/>
        <w:outlineLvl w:val="1"/>
        <w:rPr>
          <w:rFonts w:ascii="宋体" w:hAnsi="宋体"/>
          <w:b/>
          <w:bCs/>
          <w:color w:val="auto"/>
          <w:sz w:val="24"/>
          <w:szCs w:val="32"/>
          <w:highlight w:val="none"/>
        </w:rPr>
      </w:pPr>
      <w:bookmarkStart w:id="5" w:name="_Toc22201057"/>
      <w:bookmarkStart w:id="6" w:name="_Toc106890494"/>
      <w:r>
        <w:rPr>
          <w:rFonts w:hint="eastAsia" w:ascii="宋体" w:hAnsi="宋体"/>
          <w:b/>
          <w:bCs/>
          <w:color w:val="auto"/>
          <w:sz w:val="24"/>
          <w:szCs w:val="32"/>
          <w:highlight w:val="none"/>
        </w:rPr>
        <w:t>三、供应商的资格要求</w:t>
      </w:r>
      <w:bookmarkEnd w:id="5"/>
      <w:bookmarkEnd w:id="6"/>
    </w:p>
    <w:p>
      <w:pPr>
        <w:adjustRightInd w:val="0"/>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1、供应商的基本资格条件：供应商必须是在中华人民共和国境内注册登记的法人、其他组织或者自然人，即：</w:t>
      </w:r>
    </w:p>
    <w:p>
      <w:pPr>
        <w:adjustRightInd w:val="0"/>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（1）具有独立承担民事责任的能力；</w:t>
      </w:r>
    </w:p>
    <w:p>
      <w:pPr>
        <w:adjustRightInd w:val="0"/>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（2）具有良好的商业信誉和健全的财务会计制度；</w:t>
      </w:r>
    </w:p>
    <w:p>
      <w:pPr>
        <w:adjustRightInd w:val="0"/>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（3）具有履行合同所必需的设备和专业技术能力；</w:t>
      </w:r>
    </w:p>
    <w:p>
      <w:pPr>
        <w:adjustRightInd w:val="0"/>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（4）有依法缴纳税收和社会保障资金的良好记录；</w:t>
      </w:r>
    </w:p>
    <w:p>
      <w:pPr>
        <w:adjustRightInd w:val="0"/>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（5）三年内，在经营活动中没有重大违法记录；</w:t>
      </w:r>
    </w:p>
    <w:p>
      <w:pPr>
        <w:adjustRightInd w:val="0"/>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（6）法律、行政法规规定的其他条件。</w:t>
      </w:r>
    </w:p>
    <w:p>
      <w:pPr>
        <w:adjustRightInd w:val="0"/>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2、采购项目的特定资格条件：</w:t>
      </w:r>
      <w:r>
        <w:rPr>
          <w:rFonts w:hint="eastAsia" w:ascii="宋体" w:hAnsi="宋体"/>
          <w:color w:val="auto"/>
          <w:szCs w:val="21"/>
          <w:highlight w:val="none"/>
          <w:u w:val="single"/>
          <w:lang w:val="en-US" w:eastAsia="zh-CN"/>
        </w:rPr>
        <w:t>具有</w:t>
      </w:r>
      <w:r>
        <w:rPr>
          <w:rFonts w:hint="eastAsia" w:ascii="宋体" w:hAnsi="宋体"/>
          <w:color w:val="auto"/>
          <w:szCs w:val="21"/>
          <w:highlight w:val="none"/>
          <w:u w:val="single"/>
        </w:rPr>
        <w:t>电子与智能化工程专业承包贰级以上资质。</w:t>
      </w:r>
    </w:p>
    <w:p>
      <w:pPr>
        <w:adjustRightInd w:val="0"/>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3、单位负责人为同一人或者存在直接控股、管理关系的不同供应商，不得参加同一合同项下的采购活动。</w:t>
      </w:r>
    </w:p>
    <w:p>
      <w:pPr>
        <w:adjustRightInd w:val="0"/>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4、为本采购项目提供整体设计、规范编制或者项目管理、监理、检测等服务的，不得再参加此项目的其他采购活动。</w:t>
      </w:r>
    </w:p>
    <w:p>
      <w:pPr>
        <w:adjustRightInd w:val="0"/>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5、列入失信被执行人、重大税收违法案件当事人名单，列入采购严重违法失信行为记录名单的，拒绝其参与本次采购活动。</w:t>
      </w:r>
    </w:p>
    <w:p>
      <w:pPr>
        <w:adjustRightInd w:val="0"/>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6、供应商为联合体形式的。本次磋商采购</w:t>
      </w:r>
      <w:r>
        <w:rPr>
          <w:rFonts w:hint="eastAsia" w:ascii="宋体" w:hAnsi="宋体"/>
          <w:color w:val="auto"/>
          <w:szCs w:val="21"/>
          <w:highlight w:val="none"/>
          <w:u w:val="single"/>
        </w:rPr>
        <w:t>不接受</w:t>
      </w:r>
      <w:r>
        <w:rPr>
          <w:rFonts w:hint="eastAsia" w:ascii="宋体" w:hAnsi="宋体"/>
          <w:color w:val="auto"/>
          <w:szCs w:val="21"/>
          <w:highlight w:val="none"/>
        </w:rPr>
        <w:t>供应商为联合体形式。接受联合体形式的，联合体应当具备下列条件：</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keepNext/>
        <w:keepLines/>
        <w:adjustRightInd w:val="0"/>
        <w:snapToGrid w:val="0"/>
        <w:spacing w:before="120" w:beforeLines="50" w:line="360" w:lineRule="auto"/>
        <w:outlineLvl w:val="1"/>
        <w:rPr>
          <w:rFonts w:ascii="宋体" w:hAnsi="宋体"/>
          <w:b/>
          <w:bCs/>
          <w:color w:val="auto"/>
          <w:sz w:val="24"/>
          <w:szCs w:val="32"/>
          <w:highlight w:val="none"/>
        </w:rPr>
      </w:pPr>
      <w:bookmarkStart w:id="7" w:name="_Toc106890495"/>
      <w:bookmarkStart w:id="8" w:name="_Toc22201058"/>
      <w:r>
        <w:rPr>
          <w:rFonts w:hint="eastAsia" w:ascii="宋体" w:hAnsi="宋体"/>
          <w:b/>
          <w:bCs/>
          <w:color w:val="auto"/>
          <w:sz w:val="24"/>
          <w:szCs w:val="32"/>
          <w:highlight w:val="none"/>
        </w:rPr>
        <w:t>四、获取磋商文件的时间、地点及方式</w:t>
      </w:r>
      <w:bookmarkEnd w:id="7"/>
      <w:bookmarkEnd w:id="8"/>
    </w:p>
    <w:p>
      <w:pPr>
        <w:tabs>
          <w:tab w:val="left" w:pos="4700"/>
          <w:tab w:val="left" w:pos="6000"/>
          <w:tab w:val="left" w:pos="7160"/>
          <w:tab w:val="left" w:pos="8520"/>
        </w:tabs>
        <w:autoSpaceDE w:val="0"/>
        <w:autoSpaceDN w:val="0"/>
        <w:adjustRightInd w:val="0"/>
        <w:snapToGrid w:val="0"/>
        <w:spacing w:before="120" w:beforeLines="50" w:line="360" w:lineRule="auto"/>
        <w:ind w:right="-23" w:firstLine="420" w:firstLineChars="200"/>
        <w:jc w:val="left"/>
        <w:rPr>
          <w:rFonts w:ascii="宋体" w:hAnsi="宋体" w:cs="微软雅黑"/>
          <w:color w:val="auto"/>
          <w:kern w:val="0"/>
          <w:szCs w:val="21"/>
          <w:highlight w:val="none"/>
          <w:u w:val="single"/>
        </w:rPr>
      </w:pPr>
      <w:r>
        <w:rPr>
          <w:rFonts w:hint="eastAsia" w:ascii="宋体" w:hAnsi="宋体"/>
          <w:color w:val="auto"/>
          <w:kern w:val="0"/>
          <w:szCs w:val="21"/>
          <w:highlight w:val="none"/>
        </w:rPr>
        <w:t>1</w:t>
      </w:r>
      <w:r>
        <w:rPr>
          <w:rFonts w:hint="eastAsia" w:ascii="宋体" w:hAnsi="宋体" w:cs="微软雅黑"/>
          <w:color w:val="auto"/>
          <w:kern w:val="0"/>
          <w:szCs w:val="21"/>
          <w:highlight w:val="none"/>
        </w:rPr>
        <w:t>、获</w:t>
      </w:r>
      <w:r>
        <w:rPr>
          <w:rFonts w:hint="eastAsia" w:ascii="宋体" w:hAnsi="宋体" w:cs="微软雅黑"/>
          <w:color w:val="auto"/>
          <w:spacing w:val="-2"/>
          <w:kern w:val="0"/>
          <w:szCs w:val="21"/>
          <w:highlight w:val="none"/>
        </w:rPr>
        <w:t>本采购邀请供应商</w:t>
      </w:r>
      <w:r>
        <w:rPr>
          <w:rFonts w:hint="eastAsia" w:ascii="宋体" w:hAnsi="宋体" w:cs="微软雅黑"/>
          <w:color w:val="auto"/>
          <w:kern w:val="0"/>
          <w:szCs w:val="21"/>
          <w:highlight w:val="none"/>
        </w:rPr>
        <w:t>，</w:t>
      </w:r>
      <w:r>
        <w:rPr>
          <w:rFonts w:hint="eastAsia" w:ascii="宋体" w:hAnsi="宋体" w:cs="微软雅黑"/>
          <w:color w:val="auto"/>
          <w:spacing w:val="-2"/>
          <w:kern w:val="0"/>
          <w:szCs w:val="21"/>
          <w:highlight w:val="none"/>
        </w:rPr>
        <w:t>请</w:t>
      </w:r>
      <w:r>
        <w:rPr>
          <w:rFonts w:hint="eastAsia" w:ascii="宋体" w:hAnsi="宋体" w:cs="微软雅黑"/>
          <w:color w:val="auto"/>
          <w:kern w:val="0"/>
          <w:szCs w:val="21"/>
          <w:highlight w:val="none"/>
        </w:rPr>
        <w:t>于</w:t>
      </w:r>
      <w:r>
        <w:rPr>
          <w:rFonts w:hint="eastAsia" w:ascii="宋体" w:hAnsi="宋体" w:cs="微软雅黑"/>
          <w:color w:val="auto"/>
          <w:kern w:val="0"/>
          <w:szCs w:val="21"/>
          <w:highlight w:val="none"/>
          <w:u w:val="single"/>
        </w:rPr>
        <w:t>2024</w:t>
      </w:r>
      <w:r>
        <w:rPr>
          <w:rFonts w:hint="eastAsia" w:ascii="宋体" w:hAnsi="宋体" w:cs="微软雅黑"/>
          <w:color w:val="auto"/>
          <w:kern w:val="0"/>
          <w:szCs w:val="21"/>
          <w:highlight w:val="none"/>
        </w:rPr>
        <w:t>年</w:t>
      </w:r>
      <w:r>
        <w:rPr>
          <w:rFonts w:hint="eastAsia" w:ascii="宋体" w:hAnsi="宋体" w:cs="微软雅黑"/>
          <w:color w:val="auto"/>
          <w:kern w:val="0"/>
          <w:szCs w:val="21"/>
          <w:highlight w:val="none"/>
          <w:u w:val="single"/>
        </w:rPr>
        <w:t>07</w:t>
      </w:r>
      <w:r>
        <w:rPr>
          <w:rFonts w:hint="eastAsia" w:ascii="宋体" w:hAnsi="宋体" w:cs="微软雅黑"/>
          <w:color w:val="auto"/>
          <w:spacing w:val="-2"/>
          <w:kern w:val="0"/>
          <w:szCs w:val="21"/>
          <w:highlight w:val="none"/>
        </w:rPr>
        <w:t>月</w:t>
      </w:r>
      <w:r>
        <w:rPr>
          <w:rFonts w:hint="eastAsia" w:ascii="宋体" w:hAnsi="宋体" w:cs="微软雅黑"/>
          <w:color w:val="auto"/>
          <w:kern w:val="0"/>
          <w:szCs w:val="21"/>
          <w:highlight w:val="none"/>
          <w:u w:val="single"/>
        </w:rPr>
        <w:t>1</w:t>
      </w:r>
      <w:r>
        <w:rPr>
          <w:rFonts w:ascii="宋体" w:hAnsi="宋体" w:cs="微软雅黑"/>
          <w:color w:val="auto"/>
          <w:kern w:val="0"/>
          <w:szCs w:val="21"/>
          <w:highlight w:val="none"/>
          <w:u w:val="single"/>
        </w:rPr>
        <w:t>6</w:t>
      </w:r>
      <w:r>
        <w:rPr>
          <w:rFonts w:hint="eastAsia" w:ascii="宋体" w:hAnsi="宋体" w:cs="微软雅黑"/>
          <w:color w:val="auto"/>
          <w:spacing w:val="-2"/>
          <w:kern w:val="0"/>
          <w:szCs w:val="21"/>
          <w:highlight w:val="none"/>
        </w:rPr>
        <w:t>日</w:t>
      </w:r>
      <w:r>
        <w:rPr>
          <w:rFonts w:hint="eastAsia" w:ascii="宋体" w:hAnsi="宋体" w:cs="微软雅黑"/>
          <w:color w:val="auto"/>
          <w:kern w:val="0"/>
          <w:szCs w:val="21"/>
          <w:highlight w:val="none"/>
        </w:rPr>
        <w:t>至</w:t>
      </w:r>
      <w:r>
        <w:rPr>
          <w:rFonts w:ascii="宋体" w:hAnsi="宋体" w:cs="微软雅黑"/>
          <w:color w:val="auto"/>
          <w:kern w:val="0"/>
          <w:szCs w:val="21"/>
          <w:highlight w:val="none"/>
          <w:u w:val="single"/>
        </w:rPr>
        <w:t>202</w:t>
      </w:r>
      <w:r>
        <w:rPr>
          <w:rFonts w:hint="eastAsia" w:ascii="宋体" w:hAnsi="宋体" w:cs="微软雅黑"/>
          <w:color w:val="auto"/>
          <w:kern w:val="0"/>
          <w:szCs w:val="21"/>
          <w:highlight w:val="none"/>
          <w:u w:val="single"/>
        </w:rPr>
        <w:t>4</w:t>
      </w:r>
      <w:r>
        <w:rPr>
          <w:rFonts w:hint="eastAsia" w:ascii="宋体" w:hAnsi="宋体" w:cs="微软雅黑"/>
          <w:color w:val="auto"/>
          <w:kern w:val="0"/>
          <w:szCs w:val="21"/>
          <w:highlight w:val="none"/>
        </w:rPr>
        <w:t>年</w:t>
      </w:r>
      <w:r>
        <w:rPr>
          <w:rFonts w:hint="eastAsia" w:ascii="宋体" w:hAnsi="宋体" w:cs="微软雅黑"/>
          <w:color w:val="auto"/>
          <w:kern w:val="0"/>
          <w:szCs w:val="21"/>
          <w:highlight w:val="none"/>
          <w:u w:val="single"/>
        </w:rPr>
        <w:t>07</w:t>
      </w:r>
      <w:r>
        <w:rPr>
          <w:rFonts w:hint="eastAsia" w:ascii="宋体" w:hAnsi="宋体" w:cs="微软雅黑"/>
          <w:color w:val="auto"/>
          <w:kern w:val="0"/>
          <w:szCs w:val="21"/>
          <w:highlight w:val="none"/>
        </w:rPr>
        <w:t>月</w:t>
      </w:r>
      <w:r>
        <w:rPr>
          <w:rFonts w:hint="eastAsia" w:ascii="宋体" w:hAnsi="宋体" w:cs="微软雅黑"/>
          <w:color w:val="auto"/>
          <w:kern w:val="0"/>
          <w:szCs w:val="21"/>
          <w:highlight w:val="none"/>
          <w:u w:val="single"/>
        </w:rPr>
        <w:t>22</w:t>
      </w:r>
      <w:r>
        <w:rPr>
          <w:rFonts w:hint="eastAsia" w:ascii="宋体" w:hAnsi="宋体" w:cs="微软雅黑"/>
          <w:color w:val="auto"/>
          <w:spacing w:val="-2"/>
          <w:kern w:val="0"/>
          <w:szCs w:val="21"/>
          <w:highlight w:val="none"/>
        </w:rPr>
        <w:t>日(工作日</w:t>
      </w:r>
      <w:r>
        <w:rPr>
          <w:rFonts w:ascii="宋体" w:hAnsi="宋体" w:cs="微软雅黑"/>
          <w:color w:val="auto"/>
          <w:spacing w:val="-2"/>
          <w:kern w:val="0"/>
          <w:szCs w:val="21"/>
          <w:highlight w:val="none"/>
        </w:rPr>
        <w:t>)</w:t>
      </w:r>
      <w:r>
        <w:rPr>
          <w:rFonts w:hint="eastAsia" w:ascii="宋体" w:hAnsi="宋体" w:cs="微软雅黑"/>
          <w:color w:val="auto"/>
          <w:spacing w:val="-38"/>
          <w:kern w:val="0"/>
          <w:szCs w:val="21"/>
          <w:highlight w:val="none"/>
        </w:rPr>
        <w:t>，</w:t>
      </w:r>
      <w:r>
        <w:rPr>
          <w:rFonts w:hint="eastAsia" w:ascii="宋体" w:hAnsi="宋体" w:cs="微软雅黑"/>
          <w:color w:val="auto"/>
          <w:kern w:val="0"/>
          <w:szCs w:val="21"/>
          <w:highlight w:val="none"/>
        </w:rPr>
        <w:t>每</w:t>
      </w:r>
      <w:r>
        <w:rPr>
          <w:rFonts w:hint="eastAsia" w:ascii="宋体" w:hAnsi="宋体" w:cs="微软雅黑"/>
          <w:color w:val="auto"/>
          <w:spacing w:val="-2"/>
          <w:kern w:val="0"/>
          <w:szCs w:val="21"/>
          <w:highlight w:val="none"/>
        </w:rPr>
        <w:t>日</w:t>
      </w:r>
      <w:r>
        <w:rPr>
          <w:rFonts w:hint="eastAsia" w:ascii="宋体" w:hAnsi="宋体" w:cs="微软雅黑"/>
          <w:color w:val="auto"/>
          <w:kern w:val="0"/>
          <w:szCs w:val="21"/>
          <w:highlight w:val="none"/>
        </w:rPr>
        <w:t>上午</w:t>
      </w:r>
      <w:r>
        <w:rPr>
          <w:rFonts w:ascii="宋体" w:hAnsi="宋体" w:cs="微软雅黑"/>
          <w:color w:val="auto"/>
          <w:kern w:val="0"/>
          <w:szCs w:val="21"/>
          <w:highlight w:val="none"/>
          <w:u w:val="single"/>
        </w:rPr>
        <w:t>9:00</w:t>
      </w:r>
      <w:r>
        <w:rPr>
          <w:rFonts w:hint="eastAsia" w:ascii="宋体" w:hAnsi="宋体" w:cs="微软雅黑"/>
          <w:color w:val="auto"/>
          <w:kern w:val="0"/>
          <w:szCs w:val="21"/>
          <w:highlight w:val="none"/>
        </w:rPr>
        <w:t>时至</w:t>
      </w:r>
      <w:r>
        <w:rPr>
          <w:rFonts w:hint="eastAsia" w:ascii="宋体" w:hAnsi="宋体" w:cs="微软雅黑"/>
          <w:color w:val="auto"/>
          <w:kern w:val="0"/>
          <w:szCs w:val="21"/>
          <w:highlight w:val="none"/>
          <w:u w:val="single"/>
        </w:rPr>
        <w:t>1</w:t>
      </w:r>
      <w:r>
        <w:rPr>
          <w:rFonts w:ascii="宋体" w:hAnsi="宋体" w:cs="微软雅黑"/>
          <w:color w:val="auto"/>
          <w:kern w:val="0"/>
          <w:szCs w:val="21"/>
          <w:highlight w:val="none"/>
          <w:u w:val="single"/>
        </w:rPr>
        <w:t>2:00</w:t>
      </w:r>
      <w:r>
        <w:rPr>
          <w:rFonts w:hint="eastAsia" w:ascii="宋体" w:hAnsi="宋体" w:cs="微软雅黑"/>
          <w:color w:val="auto"/>
          <w:kern w:val="0"/>
          <w:szCs w:val="21"/>
          <w:highlight w:val="none"/>
        </w:rPr>
        <w:t>时</w:t>
      </w:r>
      <w:r>
        <w:rPr>
          <w:rFonts w:hint="eastAsia" w:ascii="宋体" w:hAnsi="宋体" w:cs="微软雅黑"/>
          <w:color w:val="auto"/>
          <w:spacing w:val="-41"/>
          <w:kern w:val="0"/>
          <w:szCs w:val="21"/>
          <w:highlight w:val="none"/>
        </w:rPr>
        <w:t>，</w:t>
      </w:r>
      <w:r>
        <w:rPr>
          <w:rFonts w:hint="eastAsia" w:ascii="宋体" w:hAnsi="宋体" w:cs="微软雅黑"/>
          <w:color w:val="auto"/>
          <w:kern w:val="0"/>
          <w:szCs w:val="21"/>
          <w:highlight w:val="none"/>
        </w:rPr>
        <w:t>下</w:t>
      </w:r>
      <w:r>
        <w:rPr>
          <w:rFonts w:hint="eastAsia" w:ascii="宋体" w:hAnsi="宋体" w:cs="微软雅黑"/>
          <w:color w:val="auto"/>
          <w:spacing w:val="-2"/>
          <w:kern w:val="0"/>
          <w:szCs w:val="21"/>
          <w:highlight w:val="none"/>
        </w:rPr>
        <w:t>午</w:t>
      </w:r>
      <w:r>
        <w:rPr>
          <w:rFonts w:ascii="宋体" w:hAnsi="宋体" w:cs="微软雅黑"/>
          <w:color w:val="auto"/>
          <w:kern w:val="0"/>
          <w:szCs w:val="21"/>
          <w:highlight w:val="none"/>
          <w:u w:val="single"/>
        </w:rPr>
        <w:t>15:00</w:t>
      </w:r>
      <w:r>
        <w:rPr>
          <w:rFonts w:hint="eastAsia" w:ascii="宋体" w:hAnsi="宋体" w:cs="微软雅黑"/>
          <w:color w:val="auto"/>
          <w:kern w:val="0"/>
          <w:szCs w:val="21"/>
          <w:highlight w:val="none"/>
        </w:rPr>
        <w:t>时至</w:t>
      </w:r>
      <w:r>
        <w:rPr>
          <w:rFonts w:ascii="宋体" w:hAnsi="宋体" w:cs="微软雅黑"/>
          <w:color w:val="auto"/>
          <w:kern w:val="0"/>
          <w:szCs w:val="21"/>
          <w:highlight w:val="none"/>
          <w:u w:val="single"/>
        </w:rPr>
        <w:t>17:00</w:t>
      </w:r>
      <w:r>
        <w:rPr>
          <w:rFonts w:ascii="宋体" w:hAnsi="宋体" w:cs="微软雅黑"/>
          <w:color w:val="auto"/>
          <w:spacing w:val="-32"/>
          <w:kern w:val="0"/>
          <w:szCs w:val="21"/>
          <w:highlight w:val="none"/>
        </w:rPr>
        <w:t xml:space="preserve"> </w:t>
      </w:r>
      <w:r>
        <w:rPr>
          <w:rFonts w:hint="eastAsia" w:ascii="宋体" w:hAnsi="宋体" w:cs="微软雅黑"/>
          <w:color w:val="auto"/>
          <w:kern w:val="0"/>
          <w:szCs w:val="21"/>
          <w:highlight w:val="none"/>
        </w:rPr>
        <w:t>时（北</w:t>
      </w:r>
      <w:r>
        <w:rPr>
          <w:rFonts w:hint="eastAsia" w:ascii="宋体" w:hAnsi="宋体" w:cs="微软雅黑"/>
          <w:color w:val="auto"/>
          <w:spacing w:val="-2"/>
          <w:kern w:val="0"/>
          <w:szCs w:val="21"/>
          <w:highlight w:val="none"/>
        </w:rPr>
        <w:t>京</w:t>
      </w:r>
      <w:r>
        <w:rPr>
          <w:rFonts w:hint="eastAsia" w:ascii="宋体" w:hAnsi="宋体" w:cs="微软雅黑"/>
          <w:color w:val="auto"/>
          <w:kern w:val="0"/>
          <w:szCs w:val="21"/>
          <w:highlight w:val="none"/>
        </w:rPr>
        <w:t>时</w:t>
      </w:r>
      <w:r>
        <w:rPr>
          <w:rFonts w:hint="eastAsia" w:ascii="宋体" w:hAnsi="宋体" w:cs="微软雅黑"/>
          <w:color w:val="auto"/>
          <w:spacing w:val="-2"/>
          <w:kern w:val="0"/>
          <w:szCs w:val="21"/>
          <w:highlight w:val="none"/>
        </w:rPr>
        <w:t>间）</w:t>
      </w:r>
      <w:r>
        <w:rPr>
          <w:rFonts w:hint="eastAsia" w:ascii="宋体" w:hAnsi="宋体" w:cs="微软雅黑"/>
          <w:color w:val="auto"/>
          <w:spacing w:val="-17"/>
          <w:kern w:val="0"/>
          <w:szCs w:val="21"/>
          <w:highlight w:val="none"/>
        </w:rPr>
        <w:t>，</w:t>
      </w:r>
      <w:r>
        <w:rPr>
          <w:rFonts w:hint="eastAsia" w:ascii="宋体" w:hAnsi="宋体" w:cs="微软雅黑"/>
          <w:color w:val="auto"/>
          <w:kern w:val="0"/>
          <w:szCs w:val="21"/>
          <w:highlight w:val="none"/>
        </w:rPr>
        <w:t>在</w:t>
      </w:r>
      <w:r>
        <w:rPr>
          <w:rFonts w:hint="eastAsia" w:ascii="宋体" w:hAnsi="宋体" w:cs="微软雅黑"/>
          <w:color w:val="auto"/>
          <w:kern w:val="0"/>
          <w:szCs w:val="21"/>
          <w:highlight w:val="none"/>
          <w:u w:val="single"/>
        </w:rPr>
        <w:t>长沙市芙蓉区</w:t>
      </w:r>
      <w:r>
        <w:rPr>
          <w:rFonts w:hint="eastAsia" w:ascii="宋体" w:hAnsi="宋体" w:cs="微软雅黑"/>
          <w:color w:val="auto"/>
          <w:kern w:val="0"/>
          <w:szCs w:val="21"/>
          <w:highlight w:val="none"/>
          <w:u w:val="single"/>
          <w:lang w:val="en-US" w:eastAsia="zh-CN"/>
        </w:rPr>
        <w:t>竹园路7号粮油办公大楼706</w:t>
      </w:r>
      <w:bookmarkStart w:id="69" w:name="_GoBack"/>
      <w:bookmarkEnd w:id="69"/>
      <w:r>
        <w:rPr>
          <w:rFonts w:hint="eastAsia" w:ascii="宋体" w:hAnsi="宋体" w:cs="微软雅黑"/>
          <w:color w:val="auto"/>
          <w:kern w:val="0"/>
          <w:szCs w:val="21"/>
          <w:highlight w:val="none"/>
        </w:rPr>
        <w:t>（</w:t>
      </w:r>
      <w:r>
        <w:rPr>
          <w:rFonts w:hint="eastAsia" w:ascii="宋体" w:hAnsi="宋体" w:cs="微软雅黑"/>
          <w:color w:val="auto"/>
          <w:spacing w:val="-2"/>
          <w:kern w:val="0"/>
          <w:szCs w:val="21"/>
          <w:highlight w:val="none"/>
        </w:rPr>
        <w:t>详细</w:t>
      </w:r>
      <w:r>
        <w:rPr>
          <w:rFonts w:hint="eastAsia" w:ascii="宋体" w:hAnsi="宋体" w:cs="微软雅黑"/>
          <w:color w:val="auto"/>
          <w:kern w:val="0"/>
          <w:szCs w:val="21"/>
          <w:highlight w:val="none"/>
        </w:rPr>
        <w:t>地</w:t>
      </w:r>
      <w:r>
        <w:rPr>
          <w:rFonts w:hint="eastAsia" w:ascii="宋体" w:hAnsi="宋体" w:cs="微软雅黑"/>
          <w:color w:val="auto"/>
          <w:spacing w:val="-2"/>
          <w:kern w:val="0"/>
          <w:szCs w:val="21"/>
          <w:highlight w:val="none"/>
        </w:rPr>
        <w:t>址</w:t>
      </w:r>
      <w:r>
        <w:rPr>
          <w:rFonts w:hint="eastAsia" w:ascii="宋体" w:hAnsi="宋体" w:cs="微软雅黑"/>
          <w:color w:val="auto"/>
          <w:spacing w:val="-14"/>
          <w:kern w:val="0"/>
          <w:szCs w:val="21"/>
          <w:highlight w:val="none"/>
        </w:rPr>
        <w:t>）</w:t>
      </w:r>
      <w:r>
        <w:rPr>
          <w:rFonts w:hint="eastAsia" w:ascii="宋体" w:hAnsi="宋体" w:cs="微软雅黑"/>
          <w:color w:val="auto"/>
          <w:spacing w:val="-2"/>
          <w:kern w:val="0"/>
          <w:szCs w:val="21"/>
          <w:highlight w:val="none"/>
        </w:rPr>
        <w:t>持</w:t>
      </w:r>
      <w:r>
        <w:rPr>
          <w:rFonts w:hint="eastAsia" w:ascii="宋体" w:hAnsi="宋体" w:cs="微软雅黑"/>
          <w:color w:val="auto"/>
          <w:kern w:val="0"/>
          <w:szCs w:val="21"/>
          <w:highlight w:val="none"/>
        </w:rPr>
        <w:t>本采购邀请</w:t>
      </w:r>
      <w:r>
        <w:rPr>
          <w:rFonts w:hint="eastAsia" w:ascii="宋体" w:hAnsi="宋体" w:cs="微软雅黑"/>
          <w:color w:val="auto"/>
          <w:spacing w:val="-2"/>
          <w:kern w:val="0"/>
          <w:szCs w:val="21"/>
          <w:highlight w:val="none"/>
        </w:rPr>
        <w:t>购买</w:t>
      </w:r>
      <w:r>
        <w:rPr>
          <w:rFonts w:hint="eastAsia" w:ascii="宋体" w:hAnsi="宋体" w:cs="微软雅黑"/>
          <w:color w:val="auto"/>
          <w:kern w:val="0"/>
          <w:szCs w:val="21"/>
          <w:highlight w:val="none"/>
        </w:rPr>
        <w:t>磋商</w:t>
      </w:r>
      <w:r>
        <w:rPr>
          <w:rFonts w:hint="eastAsia" w:ascii="宋体" w:hAnsi="宋体" w:cs="微软雅黑"/>
          <w:color w:val="auto"/>
          <w:spacing w:val="-2"/>
          <w:kern w:val="0"/>
          <w:szCs w:val="21"/>
          <w:highlight w:val="none"/>
        </w:rPr>
        <w:t>文件</w:t>
      </w:r>
      <w:r>
        <w:rPr>
          <w:rFonts w:hint="eastAsia" w:ascii="宋体" w:hAnsi="宋体" w:cs="微软雅黑"/>
          <w:color w:val="auto"/>
          <w:spacing w:val="-14"/>
          <w:kern w:val="0"/>
          <w:szCs w:val="21"/>
          <w:highlight w:val="none"/>
        </w:rPr>
        <w:t>。</w:t>
      </w:r>
    </w:p>
    <w:p>
      <w:pPr>
        <w:tabs>
          <w:tab w:val="left" w:pos="3500"/>
        </w:tabs>
        <w:autoSpaceDE w:val="0"/>
        <w:autoSpaceDN w:val="0"/>
        <w:adjustRightInd w:val="0"/>
        <w:snapToGrid w:val="0"/>
        <w:spacing w:before="120" w:beforeLines="50" w:line="360" w:lineRule="auto"/>
        <w:ind w:right="-23" w:firstLine="420" w:firstLineChars="200"/>
        <w:jc w:val="left"/>
        <w:rPr>
          <w:rFonts w:ascii="宋体" w:hAnsi="宋体" w:cs="微软雅黑"/>
          <w:color w:val="auto"/>
          <w:kern w:val="0"/>
          <w:szCs w:val="21"/>
          <w:highlight w:val="none"/>
        </w:rPr>
      </w:pPr>
      <w:r>
        <w:rPr>
          <w:rFonts w:ascii="宋体" w:hAnsi="宋体"/>
          <w:color w:val="auto"/>
          <w:kern w:val="0"/>
          <w:position w:val="-3"/>
          <w:szCs w:val="21"/>
          <w:highlight w:val="none"/>
        </w:rPr>
        <w:t>2</w:t>
      </w:r>
      <w:r>
        <w:rPr>
          <w:rFonts w:hint="eastAsia" w:ascii="宋体" w:hAnsi="宋体"/>
          <w:color w:val="auto"/>
          <w:kern w:val="0"/>
          <w:position w:val="-3"/>
          <w:szCs w:val="21"/>
          <w:highlight w:val="none"/>
        </w:rPr>
        <w:t>、</w:t>
      </w:r>
      <w:r>
        <w:rPr>
          <w:rFonts w:hint="eastAsia" w:ascii="宋体" w:hAnsi="宋体" w:cs="微软雅黑"/>
          <w:color w:val="auto"/>
          <w:spacing w:val="-2"/>
          <w:kern w:val="0"/>
          <w:position w:val="-3"/>
          <w:szCs w:val="21"/>
          <w:highlight w:val="none"/>
        </w:rPr>
        <w:t>磋商文</w:t>
      </w:r>
      <w:r>
        <w:rPr>
          <w:rFonts w:hint="eastAsia" w:ascii="宋体" w:hAnsi="宋体" w:cs="微软雅黑"/>
          <w:color w:val="auto"/>
          <w:kern w:val="0"/>
          <w:position w:val="-3"/>
          <w:szCs w:val="21"/>
          <w:highlight w:val="none"/>
        </w:rPr>
        <w:t>件</w:t>
      </w:r>
      <w:r>
        <w:rPr>
          <w:rFonts w:hint="eastAsia" w:ascii="宋体" w:hAnsi="宋体" w:cs="微软雅黑"/>
          <w:color w:val="auto"/>
          <w:spacing w:val="-2"/>
          <w:kern w:val="0"/>
          <w:position w:val="-3"/>
          <w:szCs w:val="21"/>
          <w:highlight w:val="none"/>
        </w:rPr>
        <w:t>每</w:t>
      </w:r>
      <w:r>
        <w:rPr>
          <w:rFonts w:hint="eastAsia" w:ascii="宋体" w:hAnsi="宋体" w:cs="微软雅黑"/>
          <w:color w:val="auto"/>
          <w:kern w:val="0"/>
          <w:position w:val="-3"/>
          <w:szCs w:val="21"/>
          <w:highlight w:val="none"/>
        </w:rPr>
        <w:t>套</w:t>
      </w:r>
      <w:r>
        <w:rPr>
          <w:rFonts w:hint="eastAsia" w:ascii="宋体" w:hAnsi="宋体" w:cs="微软雅黑"/>
          <w:color w:val="auto"/>
          <w:spacing w:val="-2"/>
          <w:kern w:val="0"/>
          <w:position w:val="-3"/>
          <w:szCs w:val="21"/>
          <w:highlight w:val="none"/>
        </w:rPr>
        <w:t>售</w:t>
      </w:r>
      <w:r>
        <w:rPr>
          <w:rFonts w:hint="eastAsia" w:ascii="宋体" w:hAnsi="宋体" w:cs="微软雅黑"/>
          <w:color w:val="auto"/>
          <w:kern w:val="0"/>
          <w:position w:val="-3"/>
          <w:szCs w:val="21"/>
          <w:highlight w:val="none"/>
        </w:rPr>
        <w:t>价</w:t>
      </w:r>
      <w:r>
        <w:rPr>
          <w:rFonts w:hint="eastAsia" w:ascii="宋体" w:hAnsi="宋体" w:cs="微软雅黑"/>
          <w:color w:val="auto"/>
          <w:kern w:val="0"/>
          <w:szCs w:val="21"/>
          <w:highlight w:val="none"/>
          <w:u w:val="single"/>
        </w:rPr>
        <w:t>0</w:t>
      </w:r>
      <w:r>
        <w:rPr>
          <w:rFonts w:hint="eastAsia" w:ascii="宋体" w:hAnsi="宋体" w:cs="微软雅黑"/>
          <w:color w:val="auto"/>
          <w:kern w:val="0"/>
          <w:position w:val="-3"/>
          <w:szCs w:val="21"/>
          <w:highlight w:val="none"/>
        </w:rPr>
        <w:t>元。</w:t>
      </w:r>
    </w:p>
    <w:p>
      <w:pPr>
        <w:keepNext/>
        <w:keepLines/>
        <w:adjustRightInd w:val="0"/>
        <w:snapToGrid w:val="0"/>
        <w:spacing w:before="120" w:beforeLines="50" w:line="360" w:lineRule="auto"/>
        <w:outlineLvl w:val="1"/>
        <w:rPr>
          <w:rFonts w:ascii="宋体" w:hAnsi="宋体"/>
          <w:b/>
          <w:bCs/>
          <w:color w:val="auto"/>
          <w:sz w:val="24"/>
          <w:szCs w:val="32"/>
          <w:highlight w:val="none"/>
        </w:rPr>
      </w:pPr>
      <w:bookmarkStart w:id="9" w:name="_Toc106890496"/>
      <w:bookmarkStart w:id="10" w:name="_Toc22201059"/>
      <w:r>
        <w:rPr>
          <w:rFonts w:hint="eastAsia" w:ascii="宋体" w:hAnsi="宋体"/>
          <w:b/>
          <w:bCs/>
          <w:color w:val="auto"/>
          <w:sz w:val="24"/>
          <w:szCs w:val="32"/>
          <w:highlight w:val="none"/>
        </w:rPr>
        <w:t>五、提交首次响应文件的截止时间、磋商时间及地点</w:t>
      </w:r>
      <w:bookmarkEnd w:id="9"/>
      <w:bookmarkEnd w:id="10"/>
    </w:p>
    <w:p>
      <w:pPr>
        <w:adjustRightInd w:val="0"/>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1、提交首次响应文件的截止时间： </w:t>
      </w:r>
      <w:r>
        <w:rPr>
          <w:rFonts w:hint="eastAsia" w:ascii="宋体" w:hAnsi="宋体"/>
          <w:color w:val="auto"/>
          <w:szCs w:val="21"/>
          <w:highlight w:val="none"/>
          <w:u w:val="single"/>
        </w:rPr>
        <w:t>2024</w:t>
      </w:r>
      <w:r>
        <w:rPr>
          <w:rFonts w:hint="eastAsia" w:ascii="宋体" w:hAnsi="宋体"/>
          <w:color w:val="auto"/>
          <w:szCs w:val="21"/>
          <w:highlight w:val="none"/>
        </w:rPr>
        <w:t>年</w:t>
      </w:r>
      <w:r>
        <w:rPr>
          <w:rFonts w:hint="eastAsia" w:ascii="宋体" w:hAnsi="宋体"/>
          <w:color w:val="auto"/>
          <w:szCs w:val="21"/>
          <w:highlight w:val="none"/>
          <w:u w:val="single"/>
        </w:rPr>
        <w:t>07</w:t>
      </w:r>
      <w:r>
        <w:rPr>
          <w:rFonts w:hint="eastAsia" w:ascii="宋体" w:hAnsi="宋体"/>
          <w:color w:val="auto"/>
          <w:szCs w:val="21"/>
          <w:highlight w:val="none"/>
        </w:rPr>
        <w:t>月</w:t>
      </w:r>
      <w:r>
        <w:rPr>
          <w:rFonts w:hint="eastAsia" w:ascii="宋体" w:hAnsi="宋体"/>
          <w:color w:val="auto"/>
          <w:szCs w:val="21"/>
          <w:highlight w:val="none"/>
          <w:u w:val="single"/>
        </w:rPr>
        <w:t>23</w:t>
      </w:r>
      <w:r>
        <w:rPr>
          <w:rFonts w:hint="eastAsia" w:ascii="宋体" w:hAnsi="宋体"/>
          <w:color w:val="auto"/>
          <w:szCs w:val="21"/>
          <w:highlight w:val="none"/>
        </w:rPr>
        <w:t>日</w:t>
      </w:r>
      <w:r>
        <w:rPr>
          <w:rFonts w:hint="eastAsia" w:ascii="宋体" w:hAnsi="宋体"/>
          <w:color w:val="auto"/>
          <w:szCs w:val="21"/>
          <w:highlight w:val="none"/>
          <w:u w:val="single"/>
        </w:rPr>
        <w:t>15</w:t>
      </w:r>
      <w:r>
        <w:rPr>
          <w:rFonts w:hint="eastAsia" w:ascii="宋体" w:hAnsi="宋体"/>
          <w:color w:val="auto"/>
          <w:szCs w:val="21"/>
          <w:highlight w:val="none"/>
        </w:rPr>
        <w:t>时</w:t>
      </w:r>
      <w:r>
        <w:rPr>
          <w:rFonts w:hint="eastAsia" w:ascii="宋体" w:hAnsi="宋体"/>
          <w:color w:val="auto"/>
          <w:szCs w:val="21"/>
          <w:highlight w:val="none"/>
          <w:u w:val="single"/>
        </w:rPr>
        <w:t>3</w:t>
      </w:r>
      <w:r>
        <w:rPr>
          <w:rFonts w:ascii="宋体" w:hAnsi="宋体"/>
          <w:color w:val="auto"/>
          <w:szCs w:val="21"/>
          <w:highlight w:val="none"/>
          <w:u w:val="single"/>
        </w:rPr>
        <w:t>0</w:t>
      </w:r>
      <w:r>
        <w:rPr>
          <w:rFonts w:hint="eastAsia" w:ascii="宋体" w:hAnsi="宋体"/>
          <w:color w:val="auto"/>
          <w:szCs w:val="21"/>
          <w:highlight w:val="none"/>
        </w:rPr>
        <w:t>分（北京时间）</w:t>
      </w:r>
    </w:p>
    <w:p>
      <w:pPr>
        <w:adjustRightInd w:val="0"/>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2、磋商时间：</w:t>
      </w:r>
      <w:r>
        <w:rPr>
          <w:rFonts w:hint="eastAsia" w:ascii="宋体" w:hAnsi="宋体"/>
          <w:color w:val="auto"/>
          <w:szCs w:val="21"/>
          <w:highlight w:val="none"/>
          <w:u w:val="single"/>
        </w:rPr>
        <w:t>另行通知</w:t>
      </w:r>
      <w:r>
        <w:rPr>
          <w:rFonts w:hint="eastAsia" w:ascii="宋体" w:hAnsi="宋体"/>
          <w:color w:val="auto"/>
          <w:szCs w:val="21"/>
          <w:highlight w:val="none"/>
        </w:rPr>
        <w:t>。</w:t>
      </w:r>
    </w:p>
    <w:p>
      <w:pPr>
        <w:adjustRightInd w:val="0"/>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3、磋商地点：</w:t>
      </w:r>
      <w:r>
        <w:rPr>
          <w:rFonts w:hint="eastAsia" w:ascii="宋体" w:hAnsi="宋体" w:cs="微软雅黑"/>
          <w:color w:val="auto"/>
          <w:kern w:val="0"/>
          <w:szCs w:val="21"/>
          <w:highlight w:val="none"/>
          <w:u w:val="single"/>
        </w:rPr>
        <w:t>长沙市芙蓉区竹园路7号粮油办公大楼6楼会议室</w:t>
      </w:r>
      <w:r>
        <w:rPr>
          <w:rFonts w:hint="eastAsia" w:ascii="宋体" w:hAnsi="宋体" w:cs="宋体"/>
          <w:color w:val="auto"/>
          <w:highlight w:val="none"/>
        </w:rPr>
        <w:t>。</w:t>
      </w:r>
    </w:p>
    <w:p>
      <w:pPr>
        <w:keepNext/>
        <w:keepLines/>
        <w:adjustRightInd w:val="0"/>
        <w:snapToGrid w:val="0"/>
        <w:spacing w:before="120" w:beforeLines="50" w:line="360" w:lineRule="auto"/>
        <w:outlineLvl w:val="1"/>
        <w:rPr>
          <w:rFonts w:ascii="宋体" w:hAnsi="宋体"/>
          <w:b/>
          <w:bCs/>
          <w:color w:val="auto"/>
          <w:sz w:val="24"/>
          <w:szCs w:val="32"/>
          <w:highlight w:val="none"/>
        </w:rPr>
      </w:pPr>
      <w:bookmarkStart w:id="11" w:name="_Toc106890498"/>
      <w:bookmarkStart w:id="12" w:name="_Toc22201061"/>
      <w:r>
        <w:rPr>
          <w:rFonts w:hint="eastAsia" w:ascii="宋体" w:hAnsi="宋体"/>
          <w:b/>
          <w:bCs/>
          <w:color w:val="auto"/>
          <w:sz w:val="24"/>
          <w:szCs w:val="32"/>
          <w:highlight w:val="none"/>
        </w:rPr>
        <w:t>六、询问及质疑</w:t>
      </w:r>
      <w:bookmarkEnd w:id="11"/>
      <w:bookmarkEnd w:id="12"/>
    </w:p>
    <w:p>
      <w:pPr>
        <w:adjustRightInd w:val="0"/>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1、供应商本次采购活动事项如有疑问的，</w:t>
      </w:r>
      <w:commentRangeStart w:id="0"/>
      <w:r>
        <w:rPr>
          <w:rFonts w:hint="eastAsia" w:ascii="宋体" w:hAnsi="宋体"/>
          <w:color w:val="auto"/>
          <w:szCs w:val="21"/>
          <w:highlight w:val="none"/>
        </w:rPr>
        <w:t>可以向采购单位提出询问</w:t>
      </w:r>
      <w:commentRangeEnd w:id="0"/>
      <w:r>
        <w:rPr>
          <w:color w:val="auto"/>
          <w:highlight w:val="none"/>
        </w:rPr>
        <w:commentReference w:id="0"/>
      </w:r>
      <w:r>
        <w:rPr>
          <w:rFonts w:hint="eastAsia" w:ascii="宋体" w:hAnsi="宋体"/>
          <w:color w:val="auto"/>
          <w:szCs w:val="21"/>
          <w:highlight w:val="none"/>
        </w:rPr>
        <w:t>。采购单位将在3个工作日内作出答复。</w:t>
      </w:r>
    </w:p>
    <w:p>
      <w:pPr>
        <w:adjustRightInd w:val="0"/>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2、供应商认为磋商文件使自己的合法权益受到损害的，可以在收到磋商文件之日起7个工作日内，以书面形式向采购人、采购代理机构提出质疑。</w:t>
      </w:r>
    </w:p>
    <w:p>
      <w:pPr>
        <w:keepNext/>
        <w:keepLines/>
        <w:adjustRightInd w:val="0"/>
        <w:snapToGrid w:val="0"/>
        <w:spacing w:before="120" w:beforeLines="50" w:line="360" w:lineRule="auto"/>
        <w:outlineLvl w:val="1"/>
        <w:rPr>
          <w:rFonts w:ascii="宋体" w:hAnsi="宋体"/>
          <w:b/>
          <w:bCs/>
          <w:color w:val="auto"/>
          <w:sz w:val="24"/>
          <w:szCs w:val="32"/>
          <w:highlight w:val="none"/>
        </w:rPr>
      </w:pPr>
      <w:bookmarkStart w:id="13" w:name="_Toc22201062"/>
      <w:bookmarkStart w:id="14" w:name="_Toc106890499"/>
      <w:r>
        <w:rPr>
          <w:rFonts w:hint="eastAsia" w:ascii="宋体" w:hAnsi="宋体"/>
          <w:b/>
          <w:bCs/>
          <w:color w:val="auto"/>
          <w:sz w:val="24"/>
          <w:szCs w:val="32"/>
          <w:highlight w:val="none"/>
        </w:rPr>
        <w:t>七、</w:t>
      </w:r>
      <w:bookmarkEnd w:id="13"/>
      <w:bookmarkStart w:id="15" w:name="_Toc22201063"/>
      <w:r>
        <w:rPr>
          <w:rFonts w:hint="eastAsia" w:ascii="宋体" w:hAnsi="宋体"/>
          <w:b/>
          <w:bCs/>
          <w:color w:val="auto"/>
          <w:sz w:val="24"/>
          <w:szCs w:val="32"/>
          <w:highlight w:val="none"/>
        </w:rPr>
        <w:t>采购人的名称、地址和联系方法</w:t>
      </w:r>
      <w:bookmarkEnd w:id="14"/>
      <w:bookmarkEnd w:id="15"/>
    </w:p>
    <w:p>
      <w:pPr>
        <w:adjustRightInd w:val="0"/>
        <w:snapToGrid w:val="0"/>
        <w:spacing w:before="120" w:beforeLines="50" w:line="360" w:lineRule="auto"/>
        <w:ind w:firstLine="413" w:firstLineChars="196"/>
        <w:rPr>
          <w:rFonts w:ascii="宋体" w:hAnsi="宋体"/>
          <w:b/>
          <w:bCs/>
          <w:color w:val="auto"/>
          <w:szCs w:val="21"/>
          <w:highlight w:val="none"/>
        </w:rPr>
      </w:pPr>
      <w:r>
        <w:rPr>
          <w:rFonts w:hint="eastAsia" w:ascii="宋体" w:hAnsi="宋体"/>
          <w:b/>
          <w:bCs/>
          <w:color w:val="auto"/>
          <w:szCs w:val="21"/>
          <w:highlight w:val="none"/>
        </w:rPr>
        <w:t>1</w:t>
      </w:r>
      <w:r>
        <w:rPr>
          <w:rFonts w:hint="eastAsia" w:ascii="宋体" w:hAnsi="宋体"/>
          <w:color w:val="auto"/>
          <w:szCs w:val="21"/>
          <w:highlight w:val="none"/>
        </w:rPr>
        <w:t>、</w:t>
      </w:r>
      <w:r>
        <w:rPr>
          <w:rFonts w:hint="eastAsia" w:ascii="宋体" w:hAnsi="宋体"/>
          <w:b/>
          <w:bCs/>
          <w:color w:val="auto"/>
          <w:szCs w:val="21"/>
          <w:highlight w:val="none"/>
        </w:rPr>
        <w:t>采购人信息</w:t>
      </w:r>
    </w:p>
    <w:p>
      <w:pPr>
        <w:adjustRightInd w:val="0"/>
        <w:snapToGrid w:val="0"/>
        <w:spacing w:before="120" w:beforeLines="50" w:line="360" w:lineRule="auto"/>
        <w:ind w:firstLine="411" w:firstLineChars="196"/>
        <w:rPr>
          <w:rFonts w:ascii="宋体" w:hAnsi="宋体"/>
          <w:color w:val="auto"/>
          <w:szCs w:val="21"/>
          <w:highlight w:val="none"/>
        </w:rPr>
      </w:pPr>
      <w:r>
        <w:rPr>
          <w:rFonts w:hint="eastAsia" w:ascii="宋体" w:hAnsi="宋体"/>
          <w:color w:val="auto"/>
          <w:szCs w:val="21"/>
          <w:highlight w:val="none"/>
        </w:rPr>
        <w:t>（1）名 称：湖南省粮油食品进出口集团有限公司</w:t>
      </w:r>
    </w:p>
    <w:p>
      <w:pPr>
        <w:adjustRightInd w:val="0"/>
        <w:snapToGrid w:val="0"/>
        <w:spacing w:before="120" w:beforeLines="50" w:line="360" w:lineRule="auto"/>
        <w:ind w:firstLine="411" w:firstLineChars="196"/>
        <w:rPr>
          <w:rFonts w:ascii="宋体" w:hAnsi="宋体"/>
          <w:color w:val="auto"/>
          <w:szCs w:val="21"/>
          <w:highlight w:val="none"/>
        </w:rPr>
      </w:pPr>
      <w:r>
        <w:rPr>
          <w:rFonts w:hint="eastAsia" w:ascii="宋体" w:hAnsi="宋体"/>
          <w:color w:val="auto"/>
          <w:szCs w:val="21"/>
          <w:highlight w:val="none"/>
        </w:rPr>
        <w:t>（2）地  址：长沙市芙蓉区竹园路7号</w:t>
      </w:r>
    </w:p>
    <w:p>
      <w:pPr>
        <w:adjustRightInd w:val="0"/>
        <w:snapToGrid w:val="0"/>
        <w:spacing w:before="120" w:beforeLines="50" w:line="360" w:lineRule="auto"/>
        <w:ind w:firstLine="420" w:firstLineChars="200"/>
        <w:rPr>
          <w:rFonts w:ascii="宋体" w:hAnsi="宋体"/>
          <w:bCs/>
          <w:color w:val="auto"/>
          <w:szCs w:val="21"/>
          <w:highlight w:val="none"/>
        </w:rPr>
      </w:pPr>
      <w:r>
        <w:rPr>
          <w:rFonts w:hint="eastAsia" w:ascii="宋体" w:hAnsi="宋体"/>
          <w:color w:val="auto"/>
          <w:szCs w:val="21"/>
          <w:highlight w:val="none"/>
        </w:rPr>
        <w:t>（3）</w:t>
      </w:r>
      <w:r>
        <w:rPr>
          <w:rFonts w:hint="eastAsia" w:ascii="宋体" w:hAnsi="宋体"/>
          <w:bCs/>
          <w:color w:val="auto"/>
          <w:szCs w:val="21"/>
          <w:highlight w:val="none"/>
        </w:rPr>
        <w:t>联系人：刘宏志</w:t>
      </w:r>
    </w:p>
    <w:p>
      <w:pPr>
        <w:adjustRightInd w:val="0"/>
        <w:snapToGrid w:val="0"/>
        <w:spacing w:before="120" w:beforeLines="50" w:line="360" w:lineRule="auto"/>
        <w:ind w:firstLine="420" w:firstLineChars="200"/>
        <w:rPr>
          <w:rFonts w:ascii="宋体" w:hAnsi="宋体"/>
          <w:color w:val="auto"/>
          <w:szCs w:val="21"/>
          <w:highlight w:val="none"/>
        </w:rPr>
      </w:pPr>
      <w:r>
        <w:rPr>
          <w:rFonts w:hint="eastAsia" w:ascii="宋体" w:hAnsi="宋体"/>
          <w:bCs/>
          <w:color w:val="auto"/>
          <w:szCs w:val="21"/>
          <w:highlight w:val="none"/>
        </w:rPr>
        <w:t>（4）电话：</w:t>
      </w:r>
      <w:r>
        <w:rPr>
          <w:rFonts w:hint="eastAsia" w:ascii="宋体" w:hAnsi="宋体"/>
          <w:color w:val="auto"/>
          <w:szCs w:val="21"/>
          <w:highlight w:val="none"/>
        </w:rPr>
        <w:t>18229752527</w:t>
      </w:r>
    </w:p>
    <w:p>
      <w:pPr>
        <w:adjustRightInd w:val="0"/>
        <w:snapToGrid w:val="0"/>
        <w:spacing w:before="120" w:beforeLines="50" w:line="360" w:lineRule="auto"/>
        <w:ind w:firstLine="420" w:firstLineChars="200"/>
        <w:rPr>
          <w:rFonts w:ascii="黑体" w:hAnsi="黑体" w:eastAsia="黑体" w:cs="黑体"/>
          <w:bCs/>
          <w:color w:val="auto"/>
          <w:kern w:val="0"/>
          <w:sz w:val="28"/>
          <w:szCs w:val="28"/>
          <w:highlight w:val="none"/>
        </w:rPr>
      </w:pPr>
      <w:r>
        <w:rPr>
          <w:rFonts w:hint="eastAsia" w:ascii="宋体" w:hAnsi="宋体"/>
          <w:color w:val="auto"/>
          <w:szCs w:val="21"/>
          <w:highlight w:val="none"/>
        </w:rPr>
        <w:t>（5）</w:t>
      </w:r>
      <w:r>
        <w:rPr>
          <w:rFonts w:hint="eastAsia" w:ascii="宋体" w:hAnsi="宋体"/>
          <w:bCs/>
          <w:color w:val="auto"/>
          <w:szCs w:val="21"/>
          <w:highlight w:val="none"/>
        </w:rPr>
        <w:t>Email地址：30792026@qq.com</w:t>
      </w:r>
    </w:p>
    <w:p>
      <w:pPr>
        <w:rPr>
          <w:rFonts w:ascii="宋体" w:hAnsi="宋体"/>
          <w:color w:val="auto"/>
          <w:sz w:val="32"/>
          <w:szCs w:val="32"/>
          <w:highlight w:val="none"/>
        </w:rPr>
      </w:pPr>
      <w:bookmarkStart w:id="16" w:name="_Toc106890501"/>
      <w:r>
        <w:rPr>
          <w:rFonts w:hint="eastAsia" w:ascii="宋体" w:hAnsi="宋体"/>
          <w:color w:val="auto"/>
          <w:sz w:val="32"/>
          <w:szCs w:val="32"/>
          <w:highlight w:val="none"/>
        </w:rPr>
        <w:br w:type="page"/>
      </w:r>
    </w:p>
    <w:p>
      <w:pPr>
        <w:pStyle w:val="2"/>
        <w:adjustRightInd w:val="0"/>
        <w:snapToGrid w:val="0"/>
        <w:spacing w:before="120" w:beforeLines="50" w:line="360" w:lineRule="auto"/>
        <w:jc w:val="center"/>
        <w:rPr>
          <w:rFonts w:ascii="宋体" w:hAnsi="宋体"/>
          <w:color w:val="auto"/>
          <w:sz w:val="32"/>
          <w:szCs w:val="32"/>
          <w:highlight w:val="none"/>
        </w:rPr>
      </w:pPr>
      <w:r>
        <w:rPr>
          <w:rFonts w:hint="eastAsia" w:ascii="宋体" w:hAnsi="宋体"/>
          <w:color w:val="auto"/>
          <w:sz w:val="32"/>
          <w:szCs w:val="32"/>
          <w:highlight w:val="none"/>
        </w:rPr>
        <w:t>第二章 磋商须知</w:t>
      </w:r>
      <w:bookmarkEnd w:id="16"/>
    </w:p>
    <w:p>
      <w:pPr>
        <w:pStyle w:val="3"/>
        <w:adjustRightInd w:val="0"/>
        <w:snapToGrid w:val="0"/>
        <w:spacing w:before="120" w:beforeLines="50"/>
        <w:jc w:val="center"/>
        <w:rPr>
          <w:rFonts w:ascii="宋体" w:hAnsi="宋体"/>
          <w:color w:val="auto"/>
          <w:sz w:val="28"/>
          <w:szCs w:val="28"/>
          <w:highlight w:val="none"/>
        </w:rPr>
      </w:pPr>
      <w:bookmarkStart w:id="17" w:name="_Toc106890502"/>
      <w:r>
        <w:rPr>
          <w:rFonts w:hint="eastAsia" w:ascii="宋体" w:hAnsi="宋体"/>
          <w:color w:val="auto"/>
          <w:sz w:val="28"/>
          <w:szCs w:val="28"/>
          <w:highlight w:val="none"/>
        </w:rPr>
        <w:t>第一节 磋商须知前附表</w:t>
      </w:r>
      <w:bookmarkEnd w:id="17"/>
    </w:p>
    <w:p>
      <w:pPr>
        <w:rPr>
          <w:rFonts w:ascii="宋体" w:hAnsi="宋体"/>
          <w:color w:val="auto"/>
          <w:highlight w:val="none"/>
        </w:rPr>
      </w:pPr>
      <w:r>
        <w:rPr>
          <w:rFonts w:hint="eastAsia" w:ascii="宋体" w:hAnsi="宋体"/>
          <w:color w:val="auto"/>
          <w:szCs w:val="21"/>
          <w:highlight w:val="none"/>
        </w:rPr>
        <w:t>“■”为选择项，“□”为非选择项</w:t>
      </w:r>
    </w:p>
    <w:tbl>
      <w:tblPr>
        <w:tblStyle w:val="37"/>
        <w:tblW w:w="937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22"/>
        <w:gridCol w:w="2767"/>
        <w:gridCol w:w="498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 w:hRule="atLeast"/>
          <w:tblHeader/>
          <w:jc w:val="center"/>
        </w:trPr>
        <w:tc>
          <w:tcPr>
            <w:tcW w:w="1622" w:type="dxa"/>
            <w:vAlign w:val="center"/>
          </w:tcPr>
          <w:p>
            <w:pPr>
              <w:adjustRightInd w:val="0"/>
              <w:snapToGrid w:val="0"/>
              <w:spacing w:before="120" w:beforeLines="50" w:line="360" w:lineRule="auto"/>
              <w:jc w:val="center"/>
              <w:rPr>
                <w:rFonts w:ascii="宋体" w:hAnsi="宋体"/>
                <w:b/>
                <w:color w:val="auto"/>
                <w:szCs w:val="21"/>
                <w:highlight w:val="none"/>
              </w:rPr>
            </w:pPr>
            <w:r>
              <w:rPr>
                <w:rFonts w:hint="eastAsia" w:ascii="宋体" w:hAnsi="宋体"/>
                <w:b/>
                <w:color w:val="auto"/>
                <w:szCs w:val="21"/>
                <w:highlight w:val="none"/>
              </w:rPr>
              <w:t>条款号</w:t>
            </w:r>
          </w:p>
        </w:tc>
        <w:tc>
          <w:tcPr>
            <w:tcW w:w="2767" w:type="dxa"/>
            <w:vAlign w:val="center"/>
          </w:tcPr>
          <w:p>
            <w:pPr>
              <w:adjustRightInd w:val="0"/>
              <w:snapToGrid w:val="0"/>
              <w:spacing w:before="120" w:beforeLines="50" w:line="360" w:lineRule="auto"/>
              <w:jc w:val="center"/>
              <w:rPr>
                <w:rFonts w:ascii="宋体" w:hAnsi="宋体"/>
                <w:b/>
                <w:color w:val="auto"/>
                <w:szCs w:val="21"/>
                <w:highlight w:val="none"/>
              </w:rPr>
            </w:pPr>
            <w:r>
              <w:rPr>
                <w:rFonts w:hint="eastAsia" w:ascii="宋体" w:hAnsi="宋体"/>
                <w:b/>
                <w:color w:val="auto"/>
                <w:szCs w:val="21"/>
                <w:highlight w:val="none"/>
              </w:rPr>
              <w:t>条款名称</w:t>
            </w:r>
          </w:p>
        </w:tc>
        <w:tc>
          <w:tcPr>
            <w:tcW w:w="4987" w:type="dxa"/>
            <w:vAlign w:val="center"/>
          </w:tcPr>
          <w:p>
            <w:pPr>
              <w:adjustRightInd w:val="0"/>
              <w:snapToGrid w:val="0"/>
              <w:spacing w:before="120" w:beforeLines="50" w:line="360" w:lineRule="auto"/>
              <w:jc w:val="center"/>
              <w:rPr>
                <w:rFonts w:ascii="宋体" w:hAnsi="宋体"/>
                <w:b/>
                <w:color w:val="auto"/>
                <w:szCs w:val="21"/>
                <w:highlight w:val="none"/>
              </w:rPr>
            </w:pPr>
            <w:r>
              <w:rPr>
                <w:rFonts w:hint="eastAsia" w:ascii="宋体" w:hAnsi="宋体"/>
                <w:b/>
                <w:color w:val="auto"/>
                <w:szCs w:val="21"/>
                <w:highlight w:val="none"/>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 w:hRule="atLeast"/>
          <w:jc w:val="center"/>
        </w:trPr>
        <w:tc>
          <w:tcPr>
            <w:tcW w:w="9376" w:type="dxa"/>
            <w:gridSpan w:val="3"/>
            <w:vAlign w:val="center"/>
          </w:tcPr>
          <w:p>
            <w:pPr>
              <w:adjustRightInd w:val="0"/>
              <w:snapToGrid w:val="0"/>
              <w:spacing w:before="50" w:line="360" w:lineRule="auto"/>
              <w:rPr>
                <w:rFonts w:ascii="宋体" w:hAnsi="宋体"/>
                <w:color w:val="auto"/>
                <w:szCs w:val="21"/>
                <w:highlight w:val="none"/>
              </w:rPr>
            </w:pPr>
            <w:r>
              <w:rPr>
                <w:rFonts w:hint="eastAsia" w:ascii="宋体" w:hAnsi="宋体"/>
                <w:b/>
                <w:color w:val="auto"/>
                <w:szCs w:val="21"/>
                <w:highlight w:val="none"/>
              </w:rPr>
              <w:t>一、说明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 w:hRule="atLeast"/>
          <w:jc w:val="center"/>
        </w:trPr>
        <w:tc>
          <w:tcPr>
            <w:tcW w:w="1622" w:type="dxa"/>
            <w:vAlign w:val="center"/>
          </w:tcPr>
          <w:p>
            <w:pPr>
              <w:adjustRightInd w:val="0"/>
              <w:snapToGrid w:val="0"/>
              <w:spacing w:before="50" w:line="360" w:lineRule="auto"/>
              <w:jc w:val="center"/>
              <w:rPr>
                <w:rFonts w:ascii="宋体" w:hAnsi="宋体"/>
                <w:color w:val="auto"/>
                <w:szCs w:val="21"/>
                <w:highlight w:val="none"/>
              </w:rPr>
            </w:pPr>
            <w:r>
              <w:rPr>
                <w:rFonts w:hint="eastAsia" w:ascii="宋体" w:hAnsi="宋体"/>
                <w:color w:val="auto"/>
                <w:szCs w:val="21"/>
                <w:highlight w:val="none"/>
              </w:rPr>
              <w:t>第1.1款</w:t>
            </w:r>
          </w:p>
        </w:tc>
        <w:tc>
          <w:tcPr>
            <w:tcW w:w="2767" w:type="dxa"/>
            <w:vAlign w:val="center"/>
          </w:tcPr>
          <w:p>
            <w:pPr>
              <w:adjustRightInd w:val="0"/>
              <w:snapToGrid w:val="0"/>
              <w:spacing w:before="50" w:line="360" w:lineRule="auto"/>
              <w:rPr>
                <w:rFonts w:ascii="宋体" w:hAnsi="宋体"/>
                <w:color w:val="auto"/>
                <w:szCs w:val="21"/>
                <w:highlight w:val="none"/>
              </w:rPr>
            </w:pPr>
            <w:r>
              <w:rPr>
                <w:rFonts w:hint="eastAsia" w:ascii="宋体" w:hAnsi="宋体"/>
                <w:color w:val="auto"/>
                <w:szCs w:val="21"/>
                <w:highlight w:val="none"/>
              </w:rPr>
              <w:t>采购项目</w:t>
            </w:r>
          </w:p>
        </w:tc>
        <w:tc>
          <w:tcPr>
            <w:tcW w:w="4987" w:type="dxa"/>
            <w:vAlign w:val="center"/>
          </w:tcPr>
          <w:p>
            <w:pPr>
              <w:adjustRightInd w:val="0"/>
              <w:snapToGrid w:val="0"/>
              <w:spacing w:before="50" w:line="360" w:lineRule="auto"/>
              <w:rPr>
                <w:rFonts w:ascii="宋体" w:hAnsi="宋体"/>
                <w:color w:val="auto"/>
                <w:szCs w:val="21"/>
                <w:highlight w:val="none"/>
              </w:rPr>
            </w:pPr>
            <w:r>
              <w:rPr>
                <w:rFonts w:hint="eastAsia"/>
                <w:color w:val="auto"/>
                <w:highlight w:val="none"/>
              </w:rPr>
              <w:t>湖南省粮油食品进出口集团有限公司办公大楼601会议室升级改造项目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 w:hRule="atLeast"/>
          <w:jc w:val="center"/>
        </w:trPr>
        <w:tc>
          <w:tcPr>
            <w:tcW w:w="1622" w:type="dxa"/>
            <w:vAlign w:val="center"/>
          </w:tcPr>
          <w:p>
            <w:pPr>
              <w:adjustRightInd w:val="0"/>
              <w:snapToGrid w:val="0"/>
              <w:spacing w:before="50" w:line="360" w:lineRule="auto"/>
              <w:jc w:val="center"/>
              <w:rPr>
                <w:rFonts w:ascii="宋体" w:hAnsi="宋体"/>
                <w:color w:val="auto"/>
                <w:szCs w:val="21"/>
                <w:highlight w:val="none"/>
              </w:rPr>
            </w:pPr>
            <w:r>
              <w:rPr>
                <w:rFonts w:hint="eastAsia" w:ascii="宋体" w:hAnsi="宋体"/>
                <w:color w:val="auto"/>
                <w:szCs w:val="21"/>
                <w:highlight w:val="none"/>
              </w:rPr>
              <w:t>第2.2款</w:t>
            </w:r>
          </w:p>
        </w:tc>
        <w:tc>
          <w:tcPr>
            <w:tcW w:w="2767" w:type="dxa"/>
            <w:vAlign w:val="center"/>
          </w:tcPr>
          <w:p>
            <w:pPr>
              <w:adjustRightInd w:val="0"/>
              <w:snapToGrid w:val="0"/>
              <w:spacing w:before="50" w:line="360" w:lineRule="auto"/>
              <w:jc w:val="center"/>
              <w:rPr>
                <w:rFonts w:ascii="宋体" w:hAnsi="宋体"/>
                <w:color w:val="auto"/>
                <w:highlight w:val="none"/>
              </w:rPr>
            </w:pPr>
            <w:commentRangeStart w:id="1"/>
            <w:r>
              <w:rPr>
                <w:rFonts w:hint="eastAsia" w:ascii="宋体" w:hAnsi="宋体"/>
                <w:color w:val="auto"/>
                <w:highlight w:val="none"/>
              </w:rPr>
              <w:t>采购人名称、地址、电话、联系人</w:t>
            </w:r>
            <w:commentRangeEnd w:id="1"/>
            <w:r>
              <w:rPr>
                <w:color w:val="auto"/>
                <w:highlight w:val="none"/>
              </w:rPr>
              <w:commentReference w:id="1"/>
            </w:r>
          </w:p>
        </w:tc>
        <w:tc>
          <w:tcPr>
            <w:tcW w:w="4987" w:type="dxa"/>
            <w:vAlign w:val="center"/>
          </w:tcPr>
          <w:p>
            <w:pPr>
              <w:adjustRightInd w:val="0"/>
              <w:snapToGrid w:val="0"/>
              <w:spacing w:before="120" w:beforeLines="50" w:line="360" w:lineRule="auto"/>
              <w:rPr>
                <w:rFonts w:ascii="宋体" w:hAnsi="宋体"/>
                <w:color w:val="auto"/>
                <w:szCs w:val="21"/>
                <w:highlight w:val="none"/>
              </w:rPr>
            </w:pPr>
            <w:r>
              <w:rPr>
                <w:rFonts w:hint="eastAsia" w:ascii="宋体" w:hAnsi="宋体"/>
                <w:bCs/>
                <w:color w:val="auto"/>
                <w:szCs w:val="21"/>
                <w:highlight w:val="none"/>
              </w:rPr>
              <w:t>名  称：</w:t>
            </w:r>
            <w:r>
              <w:rPr>
                <w:rFonts w:hint="eastAsia" w:ascii="宋体" w:hAnsi="宋体"/>
                <w:color w:val="auto"/>
                <w:szCs w:val="21"/>
                <w:highlight w:val="none"/>
              </w:rPr>
              <w:t>湖南省粮油食品进出口集团有限公司</w:t>
            </w:r>
          </w:p>
          <w:p>
            <w:pPr>
              <w:spacing w:line="360" w:lineRule="auto"/>
              <w:rPr>
                <w:rFonts w:ascii="宋体" w:hAnsi="宋体"/>
                <w:color w:val="auto"/>
                <w:highlight w:val="none"/>
              </w:rPr>
            </w:pPr>
            <w:r>
              <w:rPr>
                <w:rFonts w:hint="eastAsia" w:ascii="宋体" w:hAnsi="宋体"/>
                <w:color w:val="auto"/>
                <w:szCs w:val="21"/>
                <w:highlight w:val="none"/>
              </w:rPr>
              <w:t>地  址：湖南省长沙市芙蓉区竹园路7号</w:t>
            </w:r>
          </w:p>
          <w:p>
            <w:pPr>
              <w:adjustRightInd w:val="0"/>
              <w:snapToGrid w:val="0"/>
              <w:spacing w:before="120" w:beforeLines="50" w:line="360" w:lineRule="auto"/>
              <w:rPr>
                <w:rFonts w:ascii="宋体" w:hAnsi="宋体"/>
                <w:bCs/>
                <w:color w:val="auto"/>
                <w:szCs w:val="21"/>
                <w:highlight w:val="none"/>
              </w:rPr>
            </w:pPr>
            <w:r>
              <w:rPr>
                <w:rFonts w:hint="eastAsia" w:ascii="宋体" w:hAnsi="宋体"/>
                <w:bCs/>
                <w:color w:val="auto"/>
                <w:szCs w:val="21"/>
                <w:highlight w:val="none"/>
              </w:rPr>
              <w:t>联系人：刘宏志</w:t>
            </w:r>
          </w:p>
          <w:p>
            <w:pPr>
              <w:adjustRightInd w:val="0"/>
              <w:snapToGrid w:val="0"/>
              <w:spacing w:before="50" w:line="360" w:lineRule="auto"/>
              <w:rPr>
                <w:rFonts w:ascii="宋体" w:hAnsi="宋体"/>
                <w:color w:val="auto"/>
                <w:szCs w:val="21"/>
                <w:highlight w:val="none"/>
              </w:rPr>
            </w:pPr>
            <w:r>
              <w:rPr>
                <w:rFonts w:hint="eastAsia" w:ascii="宋体" w:hAnsi="宋体"/>
                <w:bCs/>
                <w:color w:val="auto"/>
                <w:szCs w:val="21"/>
                <w:highlight w:val="none"/>
              </w:rPr>
              <w:t>电  话：18229752527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5" w:hRule="atLeast"/>
          <w:jc w:val="center"/>
        </w:trPr>
        <w:tc>
          <w:tcPr>
            <w:tcW w:w="1622" w:type="dxa"/>
            <w:vMerge w:val="restart"/>
            <w:vAlign w:val="center"/>
          </w:tcPr>
          <w:p>
            <w:pPr>
              <w:adjustRightInd w:val="0"/>
              <w:snapToGrid w:val="0"/>
              <w:spacing w:before="50" w:line="360" w:lineRule="auto"/>
              <w:jc w:val="center"/>
              <w:rPr>
                <w:rFonts w:ascii="宋体" w:hAnsi="宋体"/>
                <w:color w:val="auto"/>
                <w:szCs w:val="21"/>
                <w:highlight w:val="none"/>
              </w:rPr>
            </w:pPr>
            <w:r>
              <w:rPr>
                <w:rFonts w:hint="eastAsia" w:ascii="宋体" w:hAnsi="宋体"/>
                <w:color w:val="auto"/>
                <w:szCs w:val="21"/>
                <w:highlight w:val="none"/>
              </w:rPr>
              <w:t>第3.1款</w:t>
            </w:r>
          </w:p>
        </w:tc>
        <w:tc>
          <w:tcPr>
            <w:tcW w:w="2767" w:type="dxa"/>
            <w:vMerge w:val="restart"/>
            <w:vAlign w:val="center"/>
          </w:tcPr>
          <w:p>
            <w:pPr>
              <w:adjustRightInd w:val="0"/>
              <w:snapToGrid w:val="0"/>
              <w:spacing w:before="50" w:line="360" w:lineRule="auto"/>
              <w:rPr>
                <w:rFonts w:ascii="宋体" w:hAnsi="宋体"/>
                <w:color w:val="auto"/>
                <w:szCs w:val="21"/>
                <w:highlight w:val="none"/>
              </w:rPr>
            </w:pPr>
            <w:r>
              <w:rPr>
                <w:rFonts w:hint="eastAsia" w:ascii="宋体" w:hAnsi="宋体"/>
                <w:bCs/>
                <w:color w:val="auto"/>
                <w:szCs w:val="21"/>
                <w:highlight w:val="none"/>
              </w:rPr>
              <w:t>供应商</w:t>
            </w:r>
            <w:r>
              <w:rPr>
                <w:rFonts w:hint="eastAsia" w:ascii="宋体" w:hAnsi="宋体"/>
                <w:color w:val="auto"/>
                <w:szCs w:val="21"/>
                <w:highlight w:val="none"/>
              </w:rPr>
              <w:t>资格条件</w:t>
            </w:r>
          </w:p>
        </w:tc>
        <w:tc>
          <w:tcPr>
            <w:tcW w:w="4987" w:type="dxa"/>
          </w:tcPr>
          <w:p>
            <w:pPr>
              <w:spacing w:line="360" w:lineRule="auto"/>
              <w:rPr>
                <w:rFonts w:ascii="宋体" w:hAnsi="宋体"/>
                <w:color w:val="auto"/>
                <w:highlight w:val="none"/>
              </w:rPr>
            </w:pPr>
            <w:r>
              <w:rPr>
                <w:rFonts w:hint="eastAsia" w:ascii="宋体" w:hAnsi="宋体"/>
                <w:color w:val="auto"/>
                <w:highlight w:val="none"/>
              </w:rPr>
              <w:t>1、供应商的基本资格条件：供应商必须是在中华人民共和国境内注册登记的法人、其他组织或者自然人，即：</w:t>
            </w:r>
          </w:p>
          <w:p>
            <w:pPr>
              <w:spacing w:line="360" w:lineRule="auto"/>
              <w:rPr>
                <w:rFonts w:ascii="宋体" w:hAnsi="宋体"/>
                <w:color w:val="auto"/>
                <w:highlight w:val="none"/>
              </w:rPr>
            </w:pPr>
            <w:r>
              <w:rPr>
                <w:rFonts w:hint="eastAsia" w:ascii="宋体" w:hAnsi="宋体"/>
                <w:color w:val="auto"/>
                <w:highlight w:val="none"/>
              </w:rPr>
              <w:t>（1）具有独立承担民事责任的能力；</w:t>
            </w:r>
          </w:p>
          <w:p>
            <w:pPr>
              <w:spacing w:line="360" w:lineRule="auto"/>
              <w:rPr>
                <w:rFonts w:ascii="宋体" w:hAnsi="宋体"/>
                <w:color w:val="auto"/>
                <w:highlight w:val="none"/>
              </w:rPr>
            </w:pPr>
            <w:r>
              <w:rPr>
                <w:rFonts w:hint="eastAsia" w:ascii="宋体" w:hAnsi="宋体"/>
                <w:color w:val="auto"/>
                <w:highlight w:val="none"/>
              </w:rPr>
              <w:t>（2）具有良好的商业信誉和健全的财务会计制度；</w:t>
            </w:r>
          </w:p>
          <w:p>
            <w:pPr>
              <w:spacing w:line="360" w:lineRule="auto"/>
              <w:rPr>
                <w:rFonts w:ascii="宋体" w:hAnsi="宋体"/>
                <w:color w:val="auto"/>
                <w:highlight w:val="none"/>
              </w:rPr>
            </w:pPr>
            <w:r>
              <w:rPr>
                <w:rFonts w:hint="eastAsia" w:ascii="宋体" w:hAnsi="宋体"/>
                <w:color w:val="auto"/>
                <w:highlight w:val="none"/>
              </w:rPr>
              <w:t>（3）具有履行合同所必需的设备和专业技术能力；</w:t>
            </w:r>
          </w:p>
          <w:p>
            <w:pPr>
              <w:spacing w:line="360" w:lineRule="auto"/>
              <w:rPr>
                <w:rFonts w:ascii="宋体" w:hAnsi="宋体"/>
                <w:color w:val="auto"/>
                <w:highlight w:val="none"/>
              </w:rPr>
            </w:pPr>
            <w:r>
              <w:rPr>
                <w:rFonts w:hint="eastAsia" w:ascii="宋体" w:hAnsi="宋体"/>
                <w:color w:val="auto"/>
                <w:highlight w:val="none"/>
              </w:rPr>
              <w:t>（4）有依法缴纳税收和社会保障资金的良好记录；</w:t>
            </w:r>
          </w:p>
          <w:p>
            <w:pPr>
              <w:spacing w:line="360" w:lineRule="auto"/>
              <w:rPr>
                <w:rFonts w:ascii="宋体" w:hAnsi="宋体"/>
                <w:color w:val="auto"/>
                <w:highlight w:val="none"/>
              </w:rPr>
            </w:pPr>
            <w:r>
              <w:rPr>
                <w:rFonts w:hint="eastAsia" w:ascii="宋体" w:hAnsi="宋体"/>
                <w:color w:val="auto"/>
                <w:highlight w:val="none"/>
              </w:rPr>
              <w:t>（5）参加采购活动前三年内，在经营活动中没有重大违法记录；</w:t>
            </w:r>
          </w:p>
          <w:p>
            <w:pPr>
              <w:spacing w:line="360" w:lineRule="auto"/>
              <w:rPr>
                <w:rFonts w:ascii="宋体" w:hAnsi="宋体"/>
                <w:color w:val="auto"/>
                <w:highlight w:val="none"/>
              </w:rPr>
            </w:pPr>
            <w:r>
              <w:rPr>
                <w:rFonts w:hint="eastAsia" w:ascii="宋体" w:hAnsi="宋体"/>
                <w:color w:val="auto"/>
                <w:highlight w:val="none"/>
              </w:rPr>
              <w:t>（6）法律、行政法规规定的其他条件。</w:t>
            </w:r>
          </w:p>
          <w:p>
            <w:pPr>
              <w:spacing w:line="360" w:lineRule="auto"/>
              <w:rPr>
                <w:rFonts w:ascii="宋体" w:hAnsi="宋体"/>
                <w:color w:val="auto"/>
                <w:highlight w:val="none"/>
              </w:rPr>
            </w:pPr>
            <w:r>
              <w:rPr>
                <w:rFonts w:hint="eastAsia" w:ascii="宋体" w:hAnsi="宋体"/>
                <w:color w:val="auto"/>
                <w:highlight w:val="none"/>
              </w:rPr>
              <w:t>2、采购项目的特定资格条件：</w:t>
            </w:r>
            <w:r>
              <w:rPr>
                <w:rFonts w:hint="eastAsia" w:ascii="宋体" w:hAnsi="宋体"/>
                <w:color w:val="auto"/>
                <w:szCs w:val="21"/>
                <w:highlight w:val="none"/>
                <w:u w:val="none"/>
                <w:lang w:val="en-US" w:eastAsia="zh-CN"/>
              </w:rPr>
              <w:t>具有</w:t>
            </w:r>
            <w:r>
              <w:rPr>
                <w:rFonts w:hint="eastAsia" w:ascii="宋体" w:hAnsi="宋体"/>
                <w:color w:val="auto"/>
                <w:szCs w:val="21"/>
                <w:highlight w:val="none"/>
                <w:u w:val="none"/>
              </w:rPr>
              <w:t>电子与智能化工程专业承包贰级以上资质</w:t>
            </w:r>
            <w:r>
              <w:rPr>
                <w:rFonts w:hint="eastAsia" w:ascii="宋体" w:hAnsi="宋体"/>
                <w:color w:val="auto"/>
                <w:highlight w:val="none"/>
              </w:rPr>
              <w:t>。</w:t>
            </w:r>
          </w:p>
          <w:p>
            <w:pPr>
              <w:spacing w:line="360" w:lineRule="auto"/>
              <w:rPr>
                <w:rFonts w:ascii="宋体" w:hAnsi="宋体"/>
                <w:color w:val="auto"/>
                <w:highlight w:val="none"/>
              </w:rPr>
            </w:pPr>
            <w:r>
              <w:rPr>
                <w:rFonts w:hint="eastAsia" w:ascii="宋体" w:hAnsi="宋体"/>
                <w:color w:val="auto"/>
                <w:highlight w:val="none"/>
              </w:rPr>
              <w:t>3、单位负责人为同一人或者存在直接控股、管理关系的不同供应商，不得参加同一合同项下的采购活动。</w:t>
            </w:r>
          </w:p>
          <w:p>
            <w:pPr>
              <w:spacing w:line="360" w:lineRule="auto"/>
              <w:rPr>
                <w:rFonts w:ascii="宋体" w:hAnsi="宋体"/>
                <w:color w:val="auto"/>
                <w:highlight w:val="none"/>
              </w:rPr>
            </w:pPr>
            <w:r>
              <w:rPr>
                <w:rFonts w:hint="eastAsia" w:ascii="宋体" w:hAnsi="宋体"/>
                <w:color w:val="auto"/>
                <w:highlight w:val="none"/>
              </w:rPr>
              <w:t>4、为本采购项目提供整体设计、规范编制或者项目管理、监理、检测等服务的，不得再参加此项目的其他采购活动。</w:t>
            </w:r>
          </w:p>
          <w:p>
            <w:pPr>
              <w:spacing w:line="360" w:lineRule="auto"/>
              <w:rPr>
                <w:rFonts w:ascii="宋体" w:hAnsi="宋体"/>
                <w:color w:val="auto"/>
                <w:highlight w:val="none"/>
              </w:rPr>
            </w:pPr>
            <w:r>
              <w:rPr>
                <w:rFonts w:hint="eastAsia" w:ascii="宋体" w:hAnsi="宋体"/>
                <w:color w:val="auto"/>
                <w:highlight w:val="none"/>
              </w:rPr>
              <w:t>5、列入失信被执行人、重大税收违法案件当事人名单，列入采购严重违法失信行为记录名单的，拒绝其参与本次采购活动。</w:t>
            </w:r>
          </w:p>
          <w:p>
            <w:pPr>
              <w:spacing w:line="360" w:lineRule="auto"/>
              <w:rPr>
                <w:rFonts w:ascii="宋体" w:hAnsi="宋体"/>
                <w:color w:val="auto"/>
                <w:highlight w:val="none"/>
              </w:rPr>
            </w:pPr>
            <w:r>
              <w:rPr>
                <w:rFonts w:hint="eastAsia" w:ascii="宋体" w:hAnsi="宋体"/>
                <w:color w:val="auto"/>
                <w:highlight w:val="none"/>
              </w:rPr>
              <w:t>6、供应商为联合体形式的。本次磋商采购</w:t>
            </w:r>
            <w:r>
              <w:rPr>
                <w:rFonts w:hint="eastAsia" w:ascii="宋体" w:hAnsi="宋体"/>
                <w:color w:val="auto"/>
                <w:highlight w:val="none"/>
                <w:u w:val="single"/>
              </w:rPr>
              <w:t>不接受</w:t>
            </w:r>
            <w:r>
              <w:rPr>
                <w:rFonts w:hint="eastAsia" w:ascii="宋体" w:hAnsi="宋体"/>
                <w:color w:val="auto"/>
                <w:highlight w:val="none"/>
              </w:rPr>
              <w:t>供应商为联合体形式。</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5" w:hRule="atLeast"/>
          <w:jc w:val="center"/>
        </w:trPr>
        <w:tc>
          <w:tcPr>
            <w:tcW w:w="1622" w:type="dxa"/>
            <w:vMerge w:val="continue"/>
            <w:tcBorders>
              <w:bottom w:val="single" w:color="auto" w:sz="4" w:space="0"/>
            </w:tcBorders>
            <w:vAlign w:val="center"/>
          </w:tcPr>
          <w:p>
            <w:pPr>
              <w:pStyle w:val="405"/>
              <w:tabs>
                <w:tab w:val="left" w:pos="0"/>
              </w:tabs>
              <w:ind w:left="0" w:firstLine="210" w:firstLineChars="100"/>
              <w:rPr>
                <w:rFonts w:ascii="宋体" w:hAnsi="宋体"/>
                <w:color w:val="auto"/>
                <w:highlight w:val="none"/>
              </w:rPr>
            </w:pPr>
          </w:p>
        </w:tc>
        <w:tc>
          <w:tcPr>
            <w:tcW w:w="2767" w:type="dxa"/>
            <w:vMerge w:val="continue"/>
            <w:vAlign w:val="center"/>
          </w:tcPr>
          <w:p>
            <w:pPr>
              <w:pStyle w:val="405"/>
              <w:tabs>
                <w:tab w:val="left" w:pos="0"/>
              </w:tabs>
              <w:ind w:left="0" w:firstLine="210" w:firstLineChars="100"/>
              <w:rPr>
                <w:rFonts w:ascii="宋体" w:hAnsi="宋体"/>
                <w:color w:val="auto"/>
                <w:highlight w:val="none"/>
              </w:rPr>
            </w:pPr>
          </w:p>
        </w:tc>
        <w:tc>
          <w:tcPr>
            <w:tcW w:w="4987" w:type="dxa"/>
          </w:tcPr>
          <w:p>
            <w:pPr>
              <w:spacing w:line="360" w:lineRule="auto"/>
              <w:rPr>
                <w:rFonts w:ascii="宋体" w:hAnsi="宋体"/>
                <w:color w:val="auto"/>
                <w:highlight w:val="none"/>
              </w:rPr>
            </w:pPr>
            <w:r>
              <w:rPr>
                <w:rFonts w:hint="eastAsia" w:ascii="宋体" w:hAnsi="宋体"/>
                <w:color w:val="auto"/>
                <w:highlight w:val="none"/>
              </w:rPr>
              <w:t>提供以下资格证明材料及说明：</w:t>
            </w:r>
          </w:p>
          <w:p>
            <w:pPr>
              <w:pStyle w:val="46"/>
              <w:spacing w:line="360" w:lineRule="auto"/>
              <w:ind w:firstLine="0" w:firstLineChars="0"/>
              <w:rPr>
                <w:rFonts w:ascii="宋体" w:hAnsi="宋体" w:eastAsia="宋体" w:cs="Times New Roman"/>
                <w:color w:val="auto"/>
                <w:kern w:val="2"/>
                <w:sz w:val="21"/>
                <w:szCs w:val="24"/>
                <w:highlight w:val="none"/>
              </w:rPr>
            </w:pPr>
            <w:r>
              <w:rPr>
                <w:rFonts w:hint="eastAsia" w:ascii="宋体" w:hAnsi="宋体" w:eastAsia="宋体" w:cs="Times New Roman"/>
                <w:color w:val="auto"/>
                <w:kern w:val="2"/>
                <w:sz w:val="21"/>
                <w:szCs w:val="24"/>
                <w:highlight w:val="none"/>
              </w:rPr>
              <w:t>1、提供以下资格证明文件</w:t>
            </w:r>
          </w:p>
          <w:p>
            <w:pPr>
              <w:spacing w:line="360" w:lineRule="auto"/>
              <w:rPr>
                <w:rFonts w:ascii="宋体" w:hAnsi="宋体"/>
                <w:color w:val="auto"/>
                <w:highlight w:val="none"/>
              </w:rPr>
            </w:pPr>
            <w:r>
              <w:rPr>
                <w:rFonts w:hint="eastAsia" w:ascii="宋体" w:hAnsi="宋体"/>
                <w:color w:val="auto"/>
                <w:highlight w:val="none"/>
              </w:rPr>
              <w:t>1）法人或者其他组织的营业执照等主体资格证明文件，自然人的身份证明：投标人为法人的，应提交营业执照或法人登记证书的复印件；投标人为非法人组织的，应提交依法登记证书复印件；投标人为个体工商户的，应提交个体工商户营业执照复印件；投标人为自然人的，应提交自然人的身份证明复印件；</w:t>
            </w:r>
          </w:p>
          <w:p>
            <w:pPr>
              <w:pStyle w:val="46"/>
              <w:spacing w:line="360" w:lineRule="auto"/>
              <w:ind w:firstLine="0" w:firstLineChars="0"/>
              <w:rPr>
                <w:rFonts w:ascii="宋体" w:hAnsi="宋体" w:eastAsia="宋体" w:cs="Times New Roman"/>
                <w:color w:val="auto"/>
                <w:kern w:val="2"/>
                <w:sz w:val="21"/>
                <w:szCs w:val="24"/>
                <w:highlight w:val="none"/>
              </w:rPr>
            </w:pPr>
            <w:r>
              <w:rPr>
                <w:rFonts w:hint="eastAsia" w:ascii="宋体" w:hAnsi="宋体" w:eastAsia="宋体" w:cs="Times New Roman"/>
                <w:color w:val="auto"/>
                <w:kern w:val="2"/>
                <w:sz w:val="21"/>
                <w:szCs w:val="24"/>
                <w:highlight w:val="none"/>
              </w:rPr>
              <w:t>2、供应商的资格证明文件均应为有效文件并加盖供应商单位公章，并按其规定签署。</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3" w:hRule="atLeast"/>
          <w:jc w:val="center"/>
        </w:trPr>
        <w:tc>
          <w:tcPr>
            <w:tcW w:w="1622" w:type="dxa"/>
            <w:tcBorders>
              <w:bottom w:val="single" w:color="auto" w:sz="4" w:space="0"/>
            </w:tcBorders>
            <w:vAlign w:val="center"/>
          </w:tcPr>
          <w:p>
            <w:pPr>
              <w:adjustRightInd w:val="0"/>
              <w:snapToGrid w:val="0"/>
              <w:spacing w:before="50" w:line="360" w:lineRule="auto"/>
              <w:jc w:val="center"/>
              <w:rPr>
                <w:rFonts w:ascii="宋体" w:hAnsi="宋体"/>
                <w:color w:val="auto"/>
                <w:szCs w:val="21"/>
                <w:highlight w:val="none"/>
              </w:rPr>
            </w:pPr>
            <w:r>
              <w:rPr>
                <w:rFonts w:hint="eastAsia" w:ascii="宋体" w:hAnsi="宋体"/>
                <w:color w:val="auto"/>
                <w:szCs w:val="21"/>
                <w:highlight w:val="none"/>
              </w:rPr>
              <w:t>第3.2款</w:t>
            </w:r>
          </w:p>
        </w:tc>
        <w:tc>
          <w:tcPr>
            <w:tcW w:w="2767" w:type="dxa"/>
            <w:vAlign w:val="center"/>
          </w:tcPr>
          <w:p>
            <w:pPr>
              <w:adjustRightInd w:val="0"/>
              <w:snapToGrid w:val="0"/>
              <w:spacing w:before="50" w:line="360" w:lineRule="auto"/>
              <w:rPr>
                <w:rFonts w:ascii="宋体" w:hAnsi="宋体"/>
                <w:color w:val="auto"/>
                <w:szCs w:val="21"/>
                <w:highlight w:val="none"/>
              </w:rPr>
            </w:pPr>
            <w:r>
              <w:rPr>
                <w:rFonts w:hint="eastAsia" w:ascii="宋体" w:hAnsi="宋体"/>
                <w:color w:val="auto"/>
                <w:szCs w:val="21"/>
                <w:highlight w:val="none"/>
              </w:rPr>
              <w:t>是否接收联合体形式</w:t>
            </w:r>
          </w:p>
        </w:tc>
        <w:tc>
          <w:tcPr>
            <w:tcW w:w="4987" w:type="dxa"/>
            <w:vAlign w:val="center"/>
          </w:tcPr>
          <w:p>
            <w:pPr>
              <w:adjustRightInd w:val="0"/>
              <w:snapToGrid w:val="0"/>
              <w:rPr>
                <w:rFonts w:ascii="宋体" w:hAnsi="宋体"/>
                <w:color w:val="auto"/>
                <w:szCs w:val="21"/>
                <w:highlight w:val="none"/>
              </w:rPr>
            </w:pPr>
            <w:r>
              <w:rPr>
                <w:rFonts w:hint="eastAsia" w:ascii="宋体" w:hAnsi="宋体"/>
                <w:color w:val="auto"/>
                <w:szCs w:val="21"/>
                <w:highlight w:val="none"/>
              </w:rPr>
              <w:t>■ 不接受</w:t>
            </w:r>
          </w:p>
          <w:p>
            <w:pPr>
              <w:adjustRightInd w:val="0"/>
              <w:snapToGrid w:val="0"/>
              <w:spacing w:before="50" w:line="360" w:lineRule="auto"/>
              <w:rPr>
                <w:rFonts w:ascii="宋体" w:hAnsi="宋体"/>
                <w:color w:val="auto"/>
                <w:szCs w:val="21"/>
                <w:highlight w:val="none"/>
              </w:rPr>
            </w:pPr>
            <w:r>
              <w:rPr>
                <w:rFonts w:hint="eastAsia" w:ascii="宋体" w:hAnsi="宋体"/>
                <w:color w:val="auto"/>
                <w:szCs w:val="21"/>
                <w:highlight w:val="none"/>
              </w:rPr>
              <w:t>□ 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4" w:hRule="atLeast"/>
          <w:jc w:val="center"/>
        </w:trPr>
        <w:tc>
          <w:tcPr>
            <w:tcW w:w="1622" w:type="dxa"/>
            <w:vAlign w:val="center"/>
          </w:tcPr>
          <w:p>
            <w:pPr>
              <w:adjustRightInd w:val="0"/>
              <w:snapToGrid w:val="0"/>
              <w:spacing w:before="50" w:line="360" w:lineRule="auto"/>
              <w:jc w:val="center"/>
              <w:rPr>
                <w:rFonts w:ascii="宋体" w:hAnsi="宋体"/>
                <w:color w:val="auto"/>
                <w:szCs w:val="21"/>
                <w:highlight w:val="none"/>
              </w:rPr>
            </w:pPr>
            <w:r>
              <w:rPr>
                <w:rFonts w:hint="eastAsia" w:ascii="宋体" w:hAnsi="宋体"/>
                <w:color w:val="auto"/>
                <w:szCs w:val="21"/>
                <w:highlight w:val="none"/>
              </w:rPr>
              <w:t>第3.3款</w:t>
            </w:r>
          </w:p>
        </w:tc>
        <w:tc>
          <w:tcPr>
            <w:tcW w:w="2767" w:type="dxa"/>
            <w:vAlign w:val="center"/>
          </w:tcPr>
          <w:p>
            <w:pPr>
              <w:adjustRightInd w:val="0"/>
              <w:snapToGrid w:val="0"/>
              <w:spacing w:before="50" w:line="360" w:lineRule="auto"/>
              <w:rPr>
                <w:rFonts w:ascii="宋体" w:hAnsi="宋体"/>
                <w:bCs/>
                <w:color w:val="auto"/>
                <w:szCs w:val="21"/>
                <w:highlight w:val="none"/>
              </w:rPr>
            </w:pPr>
            <w:r>
              <w:rPr>
                <w:rFonts w:hint="eastAsia" w:ascii="宋体" w:hAnsi="宋体" w:cs="宋体"/>
                <w:color w:val="auto"/>
                <w:kern w:val="0"/>
                <w:szCs w:val="21"/>
                <w:highlight w:val="none"/>
              </w:rPr>
              <w:t>供应商的</w:t>
            </w:r>
            <w:r>
              <w:rPr>
                <w:rFonts w:hint="eastAsia" w:ascii="宋体" w:hAnsi="宋体"/>
                <w:color w:val="auto"/>
                <w:szCs w:val="21"/>
                <w:highlight w:val="none"/>
              </w:rPr>
              <w:t>邀请方式</w:t>
            </w:r>
          </w:p>
        </w:tc>
        <w:tc>
          <w:tcPr>
            <w:tcW w:w="4987" w:type="dxa"/>
            <w:vAlign w:val="center"/>
          </w:tcPr>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■发布公告</w:t>
            </w: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□从省级以上财政部门建立的供应商库中随机抽取</w:t>
            </w: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□采购人和评审专家分别书面推荐的方式</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1622" w:type="dxa"/>
            <w:vAlign w:val="center"/>
          </w:tcPr>
          <w:p>
            <w:pPr>
              <w:adjustRightInd w:val="0"/>
              <w:snapToGrid w:val="0"/>
              <w:spacing w:before="50" w:line="360" w:lineRule="auto"/>
              <w:jc w:val="center"/>
              <w:rPr>
                <w:rFonts w:ascii="宋体" w:hAnsi="宋体"/>
                <w:color w:val="auto"/>
                <w:szCs w:val="21"/>
                <w:highlight w:val="none"/>
              </w:rPr>
            </w:pPr>
            <w:r>
              <w:rPr>
                <w:rFonts w:hint="eastAsia" w:ascii="宋体" w:hAnsi="宋体"/>
                <w:color w:val="auto"/>
                <w:szCs w:val="21"/>
                <w:highlight w:val="none"/>
              </w:rPr>
              <w:t>第5.1款</w:t>
            </w:r>
          </w:p>
        </w:tc>
        <w:tc>
          <w:tcPr>
            <w:tcW w:w="2767" w:type="dxa"/>
            <w:vAlign w:val="center"/>
          </w:tcPr>
          <w:p>
            <w:pPr>
              <w:adjustRightInd w:val="0"/>
              <w:snapToGrid w:val="0"/>
              <w:spacing w:before="50" w:line="360" w:lineRule="auto"/>
              <w:rPr>
                <w:rFonts w:ascii="宋体" w:hAnsi="宋体"/>
                <w:color w:val="auto"/>
                <w:szCs w:val="21"/>
                <w:highlight w:val="none"/>
              </w:rPr>
            </w:pPr>
            <w:r>
              <w:rPr>
                <w:rFonts w:hint="eastAsia" w:ascii="宋体" w:hAnsi="宋体"/>
                <w:color w:val="auto"/>
                <w:szCs w:val="21"/>
                <w:highlight w:val="none"/>
              </w:rPr>
              <w:t>现场勘察</w:t>
            </w:r>
          </w:p>
        </w:tc>
        <w:tc>
          <w:tcPr>
            <w:tcW w:w="4987" w:type="dxa"/>
            <w:vAlign w:val="center"/>
          </w:tcPr>
          <w:p>
            <w:pPr>
              <w:adjustRightInd w:val="0"/>
              <w:snapToGrid w:val="0"/>
              <w:rPr>
                <w:rFonts w:ascii="宋体" w:hAnsi="宋体"/>
                <w:color w:val="auto"/>
                <w:szCs w:val="21"/>
                <w:highlight w:val="none"/>
              </w:rPr>
            </w:pPr>
            <w:r>
              <w:rPr>
                <w:rFonts w:hint="eastAsia" w:ascii="宋体" w:hAnsi="宋体"/>
                <w:color w:val="auto"/>
                <w:szCs w:val="21"/>
                <w:highlight w:val="none"/>
              </w:rPr>
              <w:t>■ 采购人不组织</w:t>
            </w:r>
          </w:p>
          <w:p>
            <w:pPr>
              <w:adjustRightInd w:val="0"/>
              <w:snapToGrid w:val="0"/>
              <w:spacing w:before="50" w:line="360" w:lineRule="auto"/>
              <w:rPr>
                <w:rFonts w:ascii="宋体" w:hAnsi="宋体"/>
                <w:color w:val="auto"/>
                <w:szCs w:val="21"/>
                <w:highlight w:val="none"/>
              </w:rPr>
            </w:pPr>
            <w:r>
              <w:rPr>
                <w:rFonts w:hint="eastAsia" w:ascii="宋体" w:hAnsi="宋体"/>
                <w:color w:val="auto"/>
                <w:szCs w:val="21"/>
                <w:highlight w:val="none"/>
              </w:rPr>
              <w:t>□ 采购人组织，时间：地点：联系人：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9376" w:type="dxa"/>
            <w:gridSpan w:val="3"/>
            <w:vAlign w:val="center"/>
          </w:tcPr>
          <w:p>
            <w:pPr>
              <w:adjustRightInd w:val="0"/>
              <w:snapToGrid w:val="0"/>
              <w:spacing w:before="50" w:line="360" w:lineRule="auto"/>
              <w:rPr>
                <w:rFonts w:ascii="宋体" w:hAnsi="宋体"/>
                <w:b/>
                <w:color w:val="auto"/>
                <w:szCs w:val="21"/>
                <w:highlight w:val="none"/>
              </w:rPr>
            </w:pPr>
            <w:r>
              <w:rPr>
                <w:rFonts w:hint="eastAsia" w:ascii="宋体" w:hAnsi="宋体"/>
                <w:b/>
                <w:color w:val="auto"/>
                <w:szCs w:val="21"/>
                <w:highlight w:val="none"/>
              </w:rPr>
              <w:t>二、磋商文件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1622" w:type="dxa"/>
            <w:vAlign w:val="center"/>
          </w:tcPr>
          <w:p>
            <w:pPr>
              <w:adjustRightInd w:val="0"/>
              <w:snapToGrid w:val="0"/>
              <w:spacing w:before="50" w:line="360" w:lineRule="auto"/>
              <w:jc w:val="center"/>
              <w:rPr>
                <w:rFonts w:ascii="宋体" w:hAnsi="宋体"/>
                <w:color w:val="auto"/>
                <w:szCs w:val="21"/>
                <w:highlight w:val="none"/>
              </w:rPr>
            </w:pPr>
            <w:r>
              <w:rPr>
                <w:rFonts w:hint="eastAsia" w:ascii="宋体" w:hAnsi="宋体"/>
                <w:color w:val="auto"/>
                <w:szCs w:val="21"/>
                <w:highlight w:val="none"/>
              </w:rPr>
              <w:t>第6.3款</w:t>
            </w:r>
          </w:p>
        </w:tc>
        <w:tc>
          <w:tcPr>
            <w:tcW w:w="2767" w:type="dxa"/>
            <w:vAlign w:val="center"/>
          </w:tcPr>
          <w:p>
            <w:pPr>
              <w:adjustRightInd w:val="0"/>
              <w:snapToGrid w:val="0"/>
              <w:spacing w:before="50" w:line="360" w:lineRule="auto"/>
              <w:rPr>
                <w:rFonts w:ascii="宋体" w:hAnsi="宋体"/>
                <w:color w:val="auto"/>
                <w:szCs w:val="21"/>
                <w:highlight w:val="none"/>
              </w:rPr>
            </w:pPr>
            <w:r>
              <w:rPr>
                <w:rFonts w:hint="eastAsia" w:ascii="宋体" w:hAnsi="宋体"/>
                <w:bCs/>
                <w:color w:val="auto"/>
                <w:szCs w:val="21"/>
                <w:highlight w:val="none"/>
              </w:rPr>
              <w:t>磋商文件的实质性变动内容</w:t>
            </w:r>
          </w:p>
        </w:tc>
        <w:tc>
          <w:tcPr>
            <w:tcW w:w="4987" w:type="dxa"/>
            <w:vAlign w:val="center"/>
          </w:tcPr>
          <w:p>
            <w:pPr>
              <w:adjustRightInd w:val="0"/>
              <w:snapToGrid w:val="0"/>
              <w:spacing w:before="50" w:line="360" w:lineRule="auto"/>
              <w:rPr>
                <w:rFonts w:ascii="宋体" w:hAnsi="宋体"/>
                <w:color w:val="auto"/>
                <w:szCs w:val="21"/>
                <w:highlight w:val="none"/>
              </w:rPr>
            </w:pPr>
            <w:bookmarkStart w:id="18" w:name="OLE_LINK1"/>
            <w:r>
              <w:rPr>
                <w:rFonts w:hint="eastAsia" w:ascii="宋体" w:hAnsi="宋体"/>
                <w:color w:val="auto"/>
                <w:szCs w:val="21"/>
                <w:highlight w:val="none"/>
              </w:rPr>
              <w:t>技术、服务、</w:t>
            </w:r>
            <w:r>
              <w:rPr>
                <w:rFonts w:ascii="宋体" w:hAnsi="宋体"/>
                <w:color w:val="auto"/>
                <w:szCs w:val="21"/>
                <w:highlight w:val="none"/>
              </w:rPr>
              <w:t>合同条款</w:t>
            </w:r>
            <w:bookmarkEnd w:id="18"/>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 w:hRule="atLeast"/>
          <w:jc w:val="center"/>
        </w:trPr>
        <w:tc>
          <w:tcPr>
            <w:tcW w:w="9376" w:type="dxa"/>
            <w:gridSpan w:val="3"/>
            <w:vAlign w:val="center"/>
          </w:tcPr>
          <w:p>
            <w:pPr>
              <w:adjustRightInd w:val="0"/>
              <w:snapToGrid w:val="0"/>
              <w:spacing w:before="50" w:line="360" w:lineRule="auto"/>
              <w:rPr>
                <w:rFonts w:ascii="宋体" w:hAnsi="宋体"/>
                <w:color w:val="auto"/>
                <w:szCs w:val="21"/>
                <w:highlight w:val="none"/>
              </w:rPr>
            </w:pPr>
            <w:r>
              <w:rPr>
                <w:rFonts w:hint="eastAsia" w:ascii="宋体" w:hAnsi="宋体"/>
                <w:b/>
                <w:color w:val="auto"/>
                <w:szCs w:val="21"/>
                <w:highlight w:val="none"/>
              </w:rPr>
              <w:t>三、响应文件的编写</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 w:hRule="atLeast"/>
          <w:jc w:val="center"/>
        </w:trPr>
        <w:tc>
          <w:tcPr>
            <w:tcW w:w="1622" w:type="dxa"/>
            <w:vAlign w:val="center"/>
          </w:tcPr>
          <w:p>
            <w:pPr>
              <w:adjustRightInd w:val="0"/>
              <w:snapToGrid w:val="0"/>
              <w:spacing w:before="50" w:line="360" w:lineRule="auto"/>
              <w:jc w:val="center"/>
              <w:rPr>
                <w:rFonts w:ascii="宋体" w:hAnsi="宋体"/>
                <w:color w:val="auto"/>
                <w:szCs w:val="21"/>
                <w:highlight w:val="none"/>
              </w:rPr>
            </w:pPr>
            <w:r>
              <w:rPr>
                <w:rFonts w:hint="eastAsia" w:ascii="宋体" w:hAnsi="宋体"/>
                <w:color w:val="auto"/>
                <w:szCs w:val="21"/>
                <w:highlight w:val="none"/>
              </w:rPr>
              <w:t>第10.3款</w:t>
            </w:r>
          </w:p>
        </w:tc>
        <w:tc>
          <w:tcPr>
            <w:tcW w:w="2767" w:type="dxa"/>
            <w:vAlign w:val="center"/>
          </w:tcPr>
          <w:p>
            <w:pPr>
              <w:adjustRightInd w:val="0"/>
              <w:snapToGrid w:val="0"/>
              <w:spacing w:before="50" w:line="360" w:lineRule="auto"/>
              <w:jc w:val="left"/>
              <w:rPr>
                <w:rFonts w:ascii="宋体" w:hAnsi="宋体"/>
                <w:color w:val="auto"/>
                <w:szCs w:val="21"/>
                <w:highlight w:val="none"/>
              </w:rPr>
            </w:pPr>
            <w:r>
              <w:rPr>
                <w:rFonts w:hint="eastAsia" w:ascii="宋体" w:hAnsi="宋体"/>
                <w:color w:val="auto"/>
                <w:szCs w:val="21"/>
                <w:highlight w:val="none"/>
              </w:rPr>
              <w:t>采购项目预算</w:t>
            </w:r>
          </w:p>
        </w:tc>
        <w:tc>
          <w:tcPr>
            <w:tcW w:w="4987" w:type="dxa"/>
            <w:vAlign w:val="center"/>
          </w:tcPr>
          <w:p>
            <w:pPr>
              <w:adjustRightInd w:val="0"/>
              <w:snapToGrid w:val="0"/>
              <w:spacing w:before="50" w:line="360" w:lineRule="auto"/>
              <w:jc w:val="left"/>
              <w:rPr>
                <w:rFonts w:ascii="宋体" w:hAnsi="宋体"/>
                <w:color w:val="auto"/>
                <w:szCs w:val="21"/>
                <w:highlight w:val="none"/>
              </w:rPr>
            </w:pPr>
            <w:r>
              <w:rPr>
                <w:rFonts w:hint="eastAsia" w:ascii="宋体" w:hAnsi="宋体"/>
                <w:color w:val="auto"/>
                <w:szCs w:val="21"/>
                <w:highlight w:val="none"/>
              </w:rPr>
              <w:t>采购预算3</w:t>
            </w:r>
            <w:r>
              <w:rPr>
                <w:rFonts w:ascii="宋体" w:hAnsi="宋体"/>
                <w:color w:val="auto"/>
                <w:szCs w:val="21"/>
                <w:highlight w:val="none"/>
              </w:rPr>
              <w:t>00</w:t>
            </w:r>
            <w:r>
              <w:rPr>
                <w:rFonts w:ascii="宋体" w:hAnsi="宋体"/>
                <w:color w:val="auto"/>
                <w:kern w:val="0"/>
                <w:highlight w:val="none"/>
              </w:rPr>
              <w:t>,000.00</w:t>
            </w:r>
            <w:r>
              <w:rPr>
                <w:rFonts w:hint="eastAsia" w:ascii="宋体" w:hAnsi="宋体"/>
                <w:color w:val="auto"/>
                <w:szCs w:val="21"/>
                <w:highlight w:val="none"/>
              </w:rPr>
              <w:t>元，最高限价：</w:t>
            </w:r>
            <w:r>
              <w:rPr>
                <w:rFonts w:ascii="宋体" w:hAnsi="宋体" w:cs="宋体"/>
                <w:color w:val="auto"/>
                <w:kern w:val="0"/>
                <w:szCs w:val="21"/>
                <w:highlight w:val="none"/>
              </w:rPr>
              <w:t>300,000.00</w:t>
            </w:r>
            <w:r>
              <w:rPr>
                <w:rFonts w:hint="eastAsia" w:ascii="宋体" w:hAnsi="宋体" w:cs="宋体"/>
                <w:color w:val="auto"/>
                <w:kern w:val="0"/>
                <w:szCs w:val="21"/>
                <w:highlight w:val="none"/>
              </w:rPr>
              <w:t>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 w:hRule="atLeast"/>
          <w:jc w:val="center"/>
        </w:trPr>
        <w:tc>
          <w:tcPr>
            <w:tcW w:w="1622" w:type="dxa"/>
            <w:vAlign w:val="center"/>
          </w:tcPr>
          <w:p>
            <w:pPr>
              <w:adjustRightInd w:val="0"/>
              <w:snapToGrid w:val="0"/>
              <w:spacing w:before="50" w:line="360" w:lineRule="auto"/>
              <w:jc w:val="center"/>
              <w:rPr>
                <w:rFonts w:ascii="宋体" w:hAnsi="宋体"/>
                <w:color w:val="auto"/>
                <w:szCs w:val="21"/>
                <w:highlight w:val="none"/>
              </w:rPr>
            </w:pPr>
            <w:r>
              <w:rPr>
                <w:rFonts w:hint="eastAsia" w:ascii="宋体" w:hAnsi="宋体"/>
                <w:color w:val="auto"/>
                <w:szCs w:val="21"/>
                <w:highlight w:val="none"/>
              </w:rPr>
              <w:t>第10.6款</w:t>
            </w:r>
          </w:p>
        </w:tc>
        <w:tc>
          <w:tcPr>
            <w:tcW w:w="2767" w:type="dxa"/>
            <w:vAlign w:val="center"/>
          </w:tcPr>
          <w:p>
            <w:pPr>
              <w:adjustRightInd w:val="0"/>
              <w:snapToGrid w:val="0"/>
              <w:spacing w:before="50" w:line="360" w:lineRule="auto"/>
              <w:jc w:val="left"/>
              <w:rPr>
                <w:rFonts w:ascii="宋体" w:hAnsi="宋体"/>
                <w:color w:val="auto"/>
                <w:szCs w:val="21"/>
                <w:highlight w:val="none"/>
              </w:rPr>
            </w:pPr>
            <w:r>
              <w:rPr>
                <w:rFonts w:hint="eastAsia" w:ascii="宋体" w:hAnsi="宋体"/>
                <w:color w:val="auto"/>
                <w:szCs w:val="21"/>
                <w:highlight w:val="none"/>
              </w:rPr>
              <w:t>报价的其他要求</w:t>
            </w:r>
          </w:p>
        </w:tc>
        <w:tc>
          <w:tcPr>
            <w:tcW w:w="4987" w:type="dxa"/>
            <w:vAlign w:val="center"/>
          </w:tcPr>
          <w:p>
            <w:pPr>
              <w:adjustRightInd w:val="0"/>
              <w:snapToGrid w:val="0"/>
              <w:spacing w:before="50" w:line="360" w:lineRule="auto"/>
              <w:jc w:val="left"/>
              <w:rPr>
                <w:rFonts w:ascii="宋体" w:hAnsi="宋体"/>
                <w:color w:val="auto"/>
                <w:szCs w:val="21"/>
                <w:highlight w:val="none"/>
              </w:rPr>
            </w:pPr>
            <w:r>
              <w:rPr>
                <w:rFonts w:hint="eastAsia" w:ascii="宋体" w:hAnsi="宋体"/>
                <w:color w:val="auto"/>
                <w:szCs w:val="21"/>
                <w:highlight w:val="none"/>
              </w:rPr>
              <w:t>供应商投标报价不得超过最高限价。超过最高限价者作无效处理。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1622" w:type="dxa"/>
            <w:vAlign w:val="center"/>
          </w:tcPr>
          <w:p>
            <w:pPr>
              <w:adjustRightInd w:val="0"/>
              <w:snapToGrid w:val="0"/>
              <w:spacing w:before="50" w:line="360" w:lineRule="auto"/>
              <w:jc w:val="center"/>
              <w:rPr>
                <w:rFonts w:ascii="宋体" w:hAnsi="宋体"/>
                <w:color w:val="auto"/>
                <w:szCs w:val="21"/>
                <w:highlight w:val="none"/>
              </w:rPr>
            </w:pPr>
            <w:r>
              <w:rPr>
                <w:rFonts w:hint="eastAsia" w:ascii="宋体" w:hAnsi="宋体"/>
                <w:color w:val="auto"/>
                <w:szCs w:val="21"/>
                <w:highlight w:val="none"/>
              </w:rPr>
              <w:t>第11.1款</w:t>
            </w:r>
          </w:p>
        </w:tc>
        <w:tc>
          <w:tcPr>
            <w:tcW w:w="2767" w:type="dxa"/>
            <w:vAlign w:val="center"/>
          </w:tcPr>
          <w:p>
            <w:pPr>
              <w:adjustRightInd w:val="0"/>
              <w:snapToGrid w:val="0"/>
              <w:spacing w:before="50" w:line="360" w:lineRule="auto"/>
              <w:ind w:left="-533" w:leftChars="-254" w:firstLine="533" w:firstLineChars="254"/>
              <w:rPr>
                <w:rFonts w:ascii="宋体" w:hAnsi="宋体"/>
                <w:color w:val="auto"/>
                <w:szCs w:val="21"/>
                <w:highlight w:val="none"/>
              </w:rPr>
            </w:pPr>
            <w:r>
              <w:rPr>
                <w:rFonts w:hint="eastAsia" w:ascii="宋体" w:hAnsi="宋体"/>
                <w:color w:val="auto"/>
                <w:szCs w:val="21"/>
                <w:highlight w:val="none"/>
              </w:rPr>
              <w:t>保证金</w:t>
            </w:r>
          </w:p>
        </w:tc>
        <w:tc>
          <w:tcPr>
            <w:tcW w:w="4987" w:type="dxa"/>
            <w:vAlign w:val="center"/>
          </w:tcPr>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■不要求提供</w:t>
            </w: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sym w:font="Wingdings 2" w:char="00A3"/>
            </w:r>
            <w:r>
              <w:rPr>
                <w:rFonts w:hint="eastAsia" w:ascii="宋体" w:hAnsi="宋体"/>
                <w:color w:val="auto"/>
                <w:szCs w:val="21"/>
                <w:highlight w:val="none"/>
              </w:rPr>
              <w:t>要求提供</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 w:hRule="atLeast"/>
          <w:jc w:val="center"/>
        </w:trPr>
        <w:tc>
          <w:tcPr>
            <w:tcW w:w="1622" w:type="dxa"/>
            <w:vAlign w:val="center"/>
          </w:tcPr>
          <w:p>
            <w:pPr>
              <w:adjustRightInd w:val="0"/>
              <w:snapToGrid w:val="0"/>
              <w:spacing w:before="50" w:line="360" w:lineRule="auto"/>
              <w:jc w:val="center"/>
              <w:rPr>
                <w:rFonts w:ascii="宋体" w:hAnsi="宋体"/>
                <w:color w:val="auto"/>
                <w:szCs w:val="21"/>
                <w:highlight w:val="none"/>
              </w:rPr>
            </w:pPr>
            <w:r>
              <w:rPr>
                <w:rFonts w:hint="eastAsia" w:ascii="宋体" w:hAnsi="宋体"/>
                <w:color w:val="auto"/>
                <w:szCs w:val="21"/>
                <w:highlight w:val="none"/>
              </w:rPr>
              <w:t>第12.1款</w:t>
            </w:r>
          </w:p>
        </w:tc>
        <w:tc>
          <w:tcPr>
            <w:tcW w:w="2767" w:type="dxa"/>
            <w:vAlign w:val="center"/>
          </w:tcPr>
          <w:p>
            <w:pPr>
              <w:adjustRightInd w:val="0"/>
              <w:snapToGrid w:val="0"/>
              <w:spacing w:before="50" w:line="360" w:lineRule="auto"/>
              <w:rPr>
                <w:rFonts w:ascii="宋体" w:hAnsi="宋体"/>
                <w:bCs/>
                <w:color w:val="auto"/>
                <w:szCs w:val="21"/>
                <w:highlight w:val="none"/>
              </w:rPr>
            </w:pPr>
            <w:r>
              <w:rPr>
                <w:rFonts w:hint="eastAsia" w:ascii="宋体" w:hAnsi="宋体"/>
                <w:bCs/>
                <w:color w:val="auto"/>
                <w:szCs w:val="21"/>
                <w:highlight w:val="none"/>
              </w:rPr>
              <w:t>响应文件有效期</w:t>
            </w:r>
          </w:p>
        </w:tc>
        <w:tc>
          <w:tcPr>
            <w:tcW w:w="4987" w:type="dxa"/>
            <w:vAlign w:val="center"/>
          </w:tcPr>
          <w:p>
            <w:pPr>
              <w:adjustRightInd w:val="0"/>
              <w:snapToGrid w:val="0"/>
              <w:spacing w:before="50" w:line="360" w:lineRule="auto"/>
              <w:rPr>
                <w:rFonts w:ascii="宋体" w:hAnsi="宋体"/>
                <w:bCs/>
                <w:color w:val="auto"/>
                <w:szCs w:val="21"/>
                <w:highlight w:val="none"/>
              </w:rPr>
            </w:pPr>
            <w:r>
              <w:rPr>
                <w:rFonts w:hint="eastAsia" w:ascii="宋体" w:hAnsi="宋体"/>
                <w:color w:val="auto"/>
                <w:szCs w:val="21"/>
                <w:highlight w:val="none"/>
                <w:u w:val="single"/>
              </w:rPr>
              <w:t xml:space="preserve"> </w:t>
            </w:r>
            <w:r>
              <w:rPr>
                <w:rFonts w:ascii="宋体" w:hAnsi="宋体"/>
                <w:color w:val="auto"/>
                <w:szCs w:val="21"/>
                <w:highlight w:val="none"/>
                <w:u w:val="single"/>
              </w:rPr>
              <w:t>9</w:t>
            </w:r>
            <w:r>
              <w:rPr>
                <w:rFonts w:hint="eastAsia" w:ascii="宋体" w:hAnsi="宋体"/>
                <w:color w:val="auto"/>
                <w:szCs w:val="21"/>
                <w:highlight w:val="none"/>
                <w:u w:val="single"/>
              </w:rPr>
              <w:t xml:space="preserve">0 </w:t>
            </w:r>
            <w:r>
              <w:rPr>
                <w:rFonts w:hint="eastAsia" w:ascii="宋体" w:hAnsi="宋体"/>
                <w:color w:val="auto"/>
                <w:szCs w:val="21"/>
                <w:highlight w:val="none"/>
              </w:rPr>
              <w:t>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 w:hRule="atLeast"/>
          <w:jc w:val="center"/>
        </w:trPr>
        <w:tc>
          <w:tcPr>
            <w:tcW w:w="1622" w:type="dxa"/>
            <w:vAlign w:val="center"/>
          </w:tcPr>
          <w:p>
            <w:pPr>
              <w:adjustRightInd w:val="0"/>
              <w:snapToGrid w:val="0"/>
              <w:spacing w:before="50" w:line="360" w:lineRule="auto"/>
              <w:jc w:val="center"/>
              <w:rPr>
                <w:rFonts w:ascii="宋体" w:hAnsi="宋体"/>
                <w:color w:val="auto"/>
                <w:szCs w:val="21"/>
                <w:highlight w:val="none"/>
              </w:rPr>
            </w:pPr>
            <w:r>
              <w:rPr>
                <w:rFonts w:hint="eastAsia" w:ascii="宋体" w:hAnsi="宋体"/>
                <w:color w:val="auto"/>
                <w:szCs w:val="21"/>
                <w:highlight w:val="none"/>
              </w:rPr>
              <w:t>第13.1款</w:t>
            </w:r>
          </w:p>
        </w:tc>
        <w:tc>
          <w:tcPr>
            <w:tcW w:w="2767" w:type="dxa"/>
            <w:vAlign w:val="center"/>
          </w:tcPr>
          <w:p>
            <w:pPr>
              <w:adjustRightInd w:val="0"/>
              <w:snapToGrid w:val="0"/>
              <w:spacing w:before="50" w:line="360" w:lineRule="auto"/>
              <w:rPr>
                <w:rFonts w:ascii="宋体" w:hAnsi="宋体"/>
                <w:bCs/>
                <w:color w:val="auto"/>
                <w:szCs w:val="21"/>
                <w:highlight w:val="none"/>
              </w:rPr>
            </w:pPr>
            <w:r>
              <w:rPr>
                <w:rFonts w:hint="eastAsia" w:ascii="宋体" w:hAnsi="宋体"/>
                <w:bCs/>
                <w:color w:val="auto"/>
                <w:szCs w:val="21"/>
                <w:highlight w:val="none"/>
              </w:rPr>
              <w:t>分包</w:t>
            </w:r>
          </w:p>
        </w:tc>
        <w:tc>
          <w:tcPr>
            <w:tcW w:w="4987" w:type="dxa"/>
            <w:vAlign w:val="center"/>
          </w:tcPr>
          <w:p>
            <w:pPr>
              <w:adjustRightInd w:val="0"/>
              <w:snapToGrid w:val="0"/>
              <w:spacing w:before="50" w:line="360" w:lineRule="auto"/>
              <w:rPr>
                <w:rFonts w:ascii="宋体" w:hAnsi="宋体"/>
                <w:bCs/>
                <w:color w:val="auto"/>
                <w:szCs w:val="21"/>
                <w:highlight w:val="none"/>
              </w:rPr>
            </w:pPr>
            <w:r>
              <w:rPr>
                <w:rFonts w:hint="eastAsia" w:ascii="宋体" w:hAnsi="宋体"/>
                <w:bCs/>
                <w:color w:val="auto"/>
                <w:szCs w:val="21"/>
                <w:highlight w:val="none"/>
              </w:rPr>
              <w:t>分包要求:</w:t>
            </w:r>
            <w:r>
              <w:rPr>
                <w:rFonts w:hint="eastAsia" w:ascii="宋体" w:hAnsi="宋体"/>
                <w:bCs/>
                <w:color w:val="auto"/>
                <w:szCs w:val="21"/>
                <w:highlight w:val="none"/>
                <w:u w:val="single"/>
              </w:rPr>
              <w:t>不允许分包、转包。</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 w:hRule="atLeast"/>
          <w:jc w:val="center"/>
        </w:trPr>
        <w:tc>
          <w:tcPr>
            <w:tcW w:w="1622" w:type="dxa"/>
            <w:vAlign w:val="center"/>
          </w:tcPr>
          <w:p>
            <w:pPr>
              <w:adjustRightInd w:val="0"/>
              <w:snapToGrid w:val="0"/>
              <w:spacing w:before="50" w:line="360" w:lineRule="auto"/>
              <w:jc w:val="center"/>
              <w:rPr>
                <w:rFonts w:ascii="宋体" w:hAnsi="宋体"/>
                <w:color w:val="auto"/>
                <w:szCs w:val="21"/>
                <w:highlight w:val="none"/>
              </w:rPr>
            </w:pPr>
            <w:r>
              <w:rPr>
                <w:rFonts w:hint="eastAsia" w:ascii="宋体" w:hAnsi="宋体"/>
                <w:color w:val="auto"/>
                <w:szCs w:val="21"/>
                <w:highlight w:val="none"/>
              </w:rPr>
              <w:t>第14.2款</w:t>
            </w:r>
          </w:p>
        </w:tc>
        <w:tc>
          <w:tcPr>
            <w:tcW w:w="2767" w:type="dxa"/>
            <w:vAlign w:val="center"/>
          </w:tcPr>
          <w:p>
            <w:pPr>
              <w:adjustRightInd w:val="0"/>
              <w:snapToGrid w:val="0"/>
              <w:spacing w:before="50" w:line="360" w:lineRule="auto"/>
              <w:rPr>
                <w:rFonts w:ascii="宋体" w:hAnsi="宋体"/>
                <w:color w:val="auto"/>
                <w:szCs w:val="21"/>
                <w:highlight w:val="none"/>
              </w:rPr>
            </w:pPr>
            <w:r>
              <w:rPr>
                <w:rFonts w:hint="eastAsia" w:ascii="宋体" w:hAnsi="宋体"/>
                <w:bCs/>
                <w:color w:val="auto"/>
                <w:szCs w:val="21"/>
                <w:highlight w:val="none"/>
              </w:rPr>
              <w:t>响应</w:t>
            </w:r>
            <w:r>
              <w:rPr>
                <w:rFonts w:hint="eastAsia" w:ascii="宋体" w:hAnsi="宋体"/>
                <w:color w:val="auto"/>
                <w:szCs w:val="21"/>
                <w:highlight w:val="none"/>
              </w:rPr>
              <w:t>文件副本份数</w:t>
            </w:r>
          </w:p>
        </w:tc>
        <w:tc>
          <w:tcPr>
            <w:tcW w:w="4987" w:type="dxa"/>
            <w:vAlign w:val="center"/>
          </w:tcPr>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1、副本份数：两份。</w:t>
            </w:r>
          </w:p>
          <w:p>
            <w:pPr>
              <w:adjustRightInd w:val="0"/>
              <w:snapToGrid w:val="0"/>
              <w:spacing w:before="50" w:line="360" w:lineRule="auto"/>
              <w:rPr>
                <w:rFonts w:ascii="宋体" w:hAnsi="宋体"/>
                <w:color w:val="auto"/>
                <w:highlight w:val="none"/>
              </w:rPr>
            </w:pPr>
            <w:r>
              <w:rPr>
                <w:rFonts w:hint="eastAsia" w:ascii="宋体" w:hAnsi="宋体"/>
                <w:color w:val="auto"/>
                <w:highlight w:val="none"/>
              </w:rPr>
              <w:t>2、电子档（正本的盖章扫描件）一份，U盘。</w:t>
            </w:r>
          </w:p>
          <w:p>
            <w:pPr>
              <w:adjustRightInd w:val="0"/>
              <w:snapToGrid w:val="0"/>
              <w:spacing w:before="50" w:line="360" w:lineRule="auto"/>
              <w:rPr>
                <w:color w:val="auto"/>
                <w:highlight w:val="none"/>
              </w:rPr>
            </w:pPr>
            <w:r>
              <w:rPr>
                <w:rFonts w:hint="eastAsia" w:ascii="宋体" w:hAnsi="宋体"/>
                <w:color w:val="auto"/>
                <w:highlight w:val="none"/>
              </w:rPr>
              <w:t>3、副本可为正本复印件，正副本均可双面打印，响应文件须胶装。</w:t>
            </w:r>
            <w:r>
              <w:rPr>
                <w:rFonts w:hint="eastAsia" w:ascii="宋体" w:hAnsi="宋体" w:cs="宋体"/>
                <w:color w:val="auto"/>
                <w:szCs w:val="21"/>
                <w:highlight w:val="none"/>
              </w:rPr>
              <w:t>响应文件正副本及电子版文件统一密封在一个封套内</w:t>
            </w:r>
            <w:r>
              <w:rPr>
                <w:rFonts w:hint="eastAsia" w:ascii="宋体" w:hAnsi="宋体"/>
                <w:color w:val="auto"/>
                <w:highlight w:val="none"/>
              </w:rPr>
              <w:t>，并在封套的封口处加盖响应人公章或由响应人的法定代表人或其委托代理人签字。正本和副本如有不一致之处，以正本为准。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 w:hRule="atLeast"/>
          <w:jc w:val="center"/>
        </w:trPr>
        <w:tc>
          <w:tcPr>
            <w:tcW w:w="9376" w:type="dxa"/>
            <w:gridSpan w:val="3"/>
            <w:vAlign w:val="center"/>
          </w:tcPr>
          <w:p>
            <w:pPr>
              <w:adjustRightInd w:val="0"/>
              <w:snapToGrid w:val="0"/>
              <w:spacing w:before="50" w:line="360" w:lineRule="auto"/>
              <w:rPr>
                <w:rFonts w:ascii="宋体" w:hAnsi="宋体"/>
                <w:b/>
                <w:bCs/>
                <w:color w:val="auto"/>
                <w:szCs w:val="21"/>
                <w:highlight w:val="none"/>
              </w:rPr>
            </w:pPr>
            <w:r>
              <w:rPr>
                <w:rFonts w:hint="eastAsia" w:ascii="宋体" w:hAnsi="宋体"/>
                <w:b/>
                <w:color w:val="auto"/>
                <w:szCs w:val="21"/>
                <w:highlight w:val="none"/>
              </w:rPr>
              <w:t>四、响应文件的递交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 w:hRule="atLeast"/>
          <w:jc w:val="center"/>
        </w:trPr>
        <w:tc>
          <w:tcPr>
            <w:tcW w:w="1622" w:type="dxa"/>
            <w:vAlign w:val="center"/>
          </w:tcPr>
          <w:p>
            <w:pPr>
              <w:adjustRightInd w:val="0"/>
              <w:snapToGrid w:val="0"/>
              <w:spacing w:before="50" w:line="360" w:lineRule="auto"/>
              <w:jc w:val="center"/>
              <w:rPr>
                <w:rFonts w:ascii="宋体" w:hAnsi="宋体"/>
                <w:color w:val="auto"/>
                <w:szCs w:val="21"/>
                <w:highlight w:val="none"/>
              </w:rPr>
            </w:pPr>
            <w:r>
              <w:rPr>
                <w:rFonts w:hint="eastAsia" w:ascii="宋体" w:hAnsi="宋体"/>
                <w:color w:val="auto"/>
                <w:szCs w:val="21"/>
                <w:highlight w:val="none"/>
              </w:rPr>
              <w:t>第15.2款</w:t>
            </w:r>
          </w:p>
        </w:tc>
        <w:tc>
          <w:tcPr>
            <w:tcW w:w="2767" w:type="dxa"/>
            <w:vAlign w:val="center"/>
          </w:tcPr>
          <w:p>
            <w:pPr>
              <w:adjustRightInd w:val="0"/>
              <w:snapToGrid w:val="0"/>
              <w:spacing w:before="50" w:line="360" w:lineRule="auto"/>
              <w:rPr>
                <w:rFonts w:ascii="宋体" w:hAnsi="宋体"/>
                <w:color w:val="auto"/>
                <w:szCs w:val="21"/>
                <w:highlight w:val="none"/>
              </w:rPr>
            </w:pPr>
            <w:r>
              <w:rPr>
                <w:rFonts w:hint="eastAsia" w:ascii="宋体" w:hAnsi="宋体"/>
                <w:color w:val="auto"/>
                <w:szCs w:val="21"/>
                <w:highlight w:val="none"/>
              </w:rPr>
              <w:t>封套上应载明的信息</w:t>
            </w:r>
          </w:p>
        </w:tc>
        <w:tc>
          <w:tcPr>
            <w:tcW w:w="4987" w:type="dxa"/>
            <w:vAlign w:val="center"/>
          </w:tcPr>
          <w:p>
            <w:pPr>
              <w:adjustRightInd w:val="0"/>
              <w:snapToGrid w:val="0"/>
              <w:spacing w:before="120" w:beforeLines="50" w:line="360" w:lineRule="auto"/>
              <w:rPr>
                <w:rFonts w:ascii="宋体"/>
                <w:color w:val="auto"/>
                <w:szCs w:val="21"/>
                <w:highlight w:val="none"/>
              </w:rPr>
            </w:pPr>
            <w:r>
              <w:rPr>
                <w:rFonts w:hint="eastAsia" w:ascii="宋体"/>
                <w:color w:val="auto"/>
                <w:szCs w:val="21"/>
                <w:highlight w:val="none"/>
                <w:u w:val="single"/>
              </w:rPr>
              <w:t xml:space="preserve">                    </w:t>
            </w:r>
            <w:r>
              <w:rPr>
                <w:rFonts w:hint="eastAsia" w:ascii="宋体" w:hAnsi="宋体"/>
                <w:color w:val="auto"/>
                <w:szCs w:val="21"/>
                <w:highlight w:val="none"/>
                <w:u w:val="single"/>
              </w:rPr>
              <w:t>(</w:t>
            </w:r>
            <w:r>
              <w:rPr>
                <w:rFonts w:hint="eastAsia" w:ascii="宋体" w:hAnsi="宋体"/>
                <w:color w:val="auto"/>
                <w:szCs w:val="21"/>
                <w:highlight w:val="none"/>
              </w:rPr>
              <w:t>项目名称) 响应文件</w:t>
            </w:r>
          </w:p>
          <w:p>
            <w:pPr>
              <w:adjustRightInd w:val="0"/>
              <w:snapToGrid w:val="0"/>
              <w:spacing w:before="120" w:beforeLines="50" w:line="360" w:lineRule="auto"/>
              <w:rPr>
                <w:rFonts w:ascii="宋体"/>
                <w:color w:val="auto"/>
                <w:szCs w:val="21"/>
                <w:highlight w:val="none"/>
              </w:rPr>
            </w:pPr>
            <w:r>
              <w:rPr>
                <w:rFonts w:hint="eastAsia" w:ascii="宋体"/>
                <w:color w:val="auto"/>
                <w:szCs w:val="21"/>
                <w:highlight w:val="none"/>
              </w:rPr>
              <w:t>采购单位</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pPr>
              <w:adjustRightInd w:val="0"/>
              <w:snapToGrid w:val="0"/>
              <w:spacing w:before="120" w:beforeLines="50" w:line="360" w:lineRule="auto"/>
              <w:rPr>
                <w:rFonts w:ascii="宋体"/>
                <w:color w:val="auto"/>
                <w:szCs w:val="21"/>
                <w:highlight w:val="none"/>
              </w:rPr>
            </w:pPr>
            <w:r>
              <w:rPr>
                <w:rFonts w:hint="eastAsia" w:ascii="宋体"/>
                <w:color w:val="auto"/>
                <w:szCs w:val="21"/>
                <w:highlight w:val="none"/>
                <w:u w:val="single"/>
              </w:rPr>
              <w:t xml:space="preserve">在      年   月  日  时   </w:t>
            </w:r>
            <w:r>
              <w:rPr>
                <w:rFonts w:hint="eastAsia" w:ascii="宋体"/>
                <w:color w:val="auto"/>
                <w:szCs w:val="21"/>
                <w:highlight w:val="none"/>
              </w:rPr>
              <w:t xml:space="preserve">分之前不得启封 </w:t>
            </w:r>
          </w:p>
          <w:p>
            <w:pPr>
              <w:adjustRightInd w:val="0"/>
              <w:snapToGrid w:val="0"/>
              <w:spacing w:before="120" w:beforeLines="50" w:line="360" w:lineRule="auto"/>
              <w:rPr>
                <w:rFonts w:ascii="宋体" w:hAnsi="宋体"/>
                <w:color w:val="auto"/>
                <w:highlight w:val="none"/>
              </w:rPr>
            </w:pPr>
            <w:r>
              <w:rPr>
                <w:rFonts w:hint="eastAsia" w:ascii="宋体"/>
                <w:color w:val="auto"/>
                <w:szCs w:val="21"/>
                <w:highlight w:val="none"/>
              </w:rPr>
              <w:t>供应商名称</w:t>
            </w:r>
            <w:r>
              <w:rPr>
                <w:rFonts w:hint="eastAsia" w:ascii="宋体" w:hAnsi="宋体"/>
                <w:color w:val="auto"/>
                <w:szCs w:val="21"/>
                <w:highlight w:val="none"/>
              </w:rPr>
              <w:t>：</w:t>
            </w:r>
            <w:r>
              <w:rPr>
                <w:rFonts w:hint="eastAsia" w:ascii="宋体" w:hAnsi="宋体"/>
                <w:color w:val="auto"/>
                <w:szCs w:val="21"/>
                <w:highlight w:val="none"/>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 w:hRule="atLeast"/>
          <w:jc w:val="center"/>
        </w:trPr>
        <w:tc>
          <w:tcPr>
            <w:tcW w:w="1622" w:type="dxa"/>
            <w:vAlign w:val="center"/>
          </w:tcPr>
          <w:p>
            <w:pPr>
              <w:adjustRightInd w:val="0"/>
              <w:snapToGrid w:val="0"/>
              <w:spacing w:before="50" w:line="360" w:lineRule="auto"/>
              <w:jc w:val="center"/>
              <w:rPr>
                <w:rFonts w:ascii="宋体" w:hAnsi="宋体"/>
                <w:color w:val="auto"/>
                <w:szCs w:val="21"/>
                <w:highlight w:val="none"/>
              </w:rPr>
            </w:pPr>
            <w:r>
              <w:rPr>
                <w:rFonts w:hint="eastAsia" w:ascii="宋体" w:hAnsi="宋体"/>
                <w:color w:val="auto"/>
                <w:szCs w:val="21"/>
                <w:highlight w:val="none"/>
              </w:rPr>
              <w:t>第17.1款</w:t>
            </w:r>
          </w:p>
        </w:tc>
        <w:tc>
          <w:tcPr>
            <w:tcW w:w="2767" w:type="dxa"/>
            <w:vAlign w:val="center"/>
          </w:tcPr>
          <w:p>
            <w:pPr>
              <w:adjustRightInd w:val="0"/>
              <w:snapToGrid w:val="0"/>
              <w:spacing w:before="50" w:line="360" w:lineRule="auto"/>
              <w:rPr>
                <w:rFonts w:ascii="宋体" w:hAnsi="宋体"/>
                <w:color w:val="auto"/>
                <w:szCs w:val="21"/>
                <w:highlight w:val="none"/>
              </w:rPr>
            </w:pPr>
            <w:r>
              <w:rPr>
                <w:rFonts w:hint="eastAsia" w:ascii="宋体" w:hAnsi="宋体"/>
                <w:color w:val="auto"/>
                <w:szCs w:val="21"/>
                <w:highlight w:val="none"/>
              </w:rPr>
              <w:t>响应文件的递交</w:t>
            </w:r>
            <w:r>
              <w:rPr>
                <w:rFonts w:hint="eastAsia" w:ascii="宋体" w:hAnsi="宋体"/>
                <w:bCs/>
                <w:color w:val="auto"/>
                <w:szCs w:val="21"/>
                <w:highlight w:val="none"/>
              </w:rPr>
              <w:t>时间和</w:t>
            </w:r>
            <w:r>
              <w:rPr>
                <w:rFonts w:hint="eastAsia" w:ascii="宋体" w:hAnsi="宋体"/>
                <w:color w:val="auto"/>
                <w:szCs w:val="21"/>
                <w:highlight w:val="none"/>
              </w:rPr>
              <w:t>地点</w:t>
            </w:r>
          </w:p>
        </w:tc>
        <w:tc>
          <w:tcPr>
            <w:tcW w:w="4987" w:type="dxa"/>
            <w:vAlign w:val="center"/>
          </w:tcPr>
          <w:p>
            <w:pPr>
              <w:adjustRightInd w:val="0"/>
              <w:snapToGrid w:val="0"/>
              <w:spacing w:before="50" w:line="360" w:lineRule="auto"/>
              <w:rPr>
                <w:rFonts w:ascii="宋体" w:hAnsi="宋体"/>
                <w:b/>
                <w:bCs/>
                <w:color w:val="auto"/>
                <w:szCs w:val="21"/>
                <w:highlight w:val="none"/>
              </w:rPr>
            </w:pPr>
            <w:r>
              <w:rPr>
                <w:rFonts w:hint="eastAsia" w:ascii="宋体" w:hAnsi="宋体"/>
                <w:b/>
                <w:bCs/>
                <w:color w:val="auto"/>
                <w:szCs w:val="21"/>
                <w:highlight w:val="none"/>
              </w:rPr>
              <w:t xml:space="preserve">提交首次响应文件的截止时间： </w:t>
            </w:r>
            <w:r>
              <w:rPr>
                <w:rFonts w:ascii="宋体" w:hAnsi="宋体"/>
                <w:b/>
                <w:bCs/>
                <w:color w:val="auto"/>
                <w:szCs w:val="21"/>
                <w:highlight w:val="none"/>
                <w:u w:val="single"/>
              </w:rPr>
              <w:t>202</w:t>
            </w:r>
            <w:r>
              <w:rPr>
                <w:rFonts w:hint="eastAsia" w:ascii="宋体" w:hAnsi="宋体"/>
                <w:b/>
                <w:bCs/>
                <w:color w:val="auto"/>
                <w:szCs w:val="21"/>
                <w:highlight w:val="none"/>
                <w:u w:val="single"/>
              </w:rPr>
              <w:t>4年07月23日15时 3</w:t>
            </w:r>
            <w:r>
              <w:rPr>
                <w:rFonts w:ascii="宋体" w:hAnsi="宋体"/>
                <w:b/>
                <w:bCs/>
                <w:color w:val="auto"/>
                <w:szCs w:val="21"/>
                <w:highlight w:val="none"/>
                <w:u w:val="single"/>
              </w:rPr>
              <w:t>0</w:t>
            </w:r>
            <w:r>
              <w:rPr>
                <w:rFonts w:hint="eastAsia" w:ascii="宋体" w:hAnsi="宋体"/>
                <w:b/>
                <w:bCs/>
                <w:color w:val="auto"/>
                <w:szCs w:val="21"/>
                <w:highlight w:val="none"/>
                <w:u w:val="single"/>
              </w:rPr>
              <w:t>分（北京时间）</w:t>
            </w:r>
          </w:p>
          <w:p>
            <w:pPr>
              <w:adjustRightInd w:val="0"/>
              <w:snapToGrid w:val="0"/>
              <w:spacing w:before="50" w:line="360" w:lineRule="auto"/>
              <w:rPr>
                <w:rFonts w:ascii="宋体" w:hAnsi="宋体"/>
                <w:b/>
                <w:bCs/>
                <w:color w:val="auto"/>
                <w:szCs w:val="21"/>
                <w:highlight w:val="none"/>
              </w:rPr>
            </w:pPr>
            <w:r>
              <w:rPr>
                <w:rFonts w:hint="eastAsia" w:ascii="宋体" w:hAnsi="宋体"/>
                <w:b/>
                <w:bCs/>
                <w:color w:val="auto"/>
                <w:szCs w:val="21"/>
                <w:highlight w:val="none"/>
              </w:rPr>
              <w:t>现场当面递交。地点：</w:t>
            </w:r>
            <w:r>
              <w:rPr>
                <w:rFonts w:hint="eastAsia" w:ascii="宋体" w:hAnsi="宋体"/>
                <w:b/>
                <w:bCs/>
                <w:color w:val="auto"/>
                <w:szCs w:val="21"/>
                <w:highlight w:val="none"/>
                <w:u w:val="single"/>
              </w:rPr>
              <w:t>长沙市芙蓉区竹园路7号粮油办公大楼706办公室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 w:hRule="atLeast"/>
          <w:jc w:val="center"/>
        </w:trPr>
        <w:tc>
          <w:tcPr>
            <w:tcW w:w="9376" w:type="dxa"/>
            <w:gridSpan w:val="3"/>
            <w:vAlign w:val="center"/>
          </w:tcPr>
          <w:p>
            <w:pPr>
              <w:adjustRightInd w:val="0"/>
              <w:snapToGrid w:val="0"/>
              <w:spacing w:before="50" w:line="360" w:lineRule="auto"/>
              <w:rPr>
                <w:rFonts w:ascii="宋体" w:hAnsi="宋体"/>
                <w:b/>
                <w:bCs/>
                <w:color w:val="auto"/>
                <w:szCs w:val="21"/>
                <w:highlight w:val="none"/>
              </w:rPr>
            </w:pPr>
            <w:r>
              <w:rPr>
                <w:rFonts w:hint="eastAsia" w:ascii="宋体" w:hAnsi="宋体"/>
                <w:b/>
                <w:bCs/>
                <w:color w:val="auto"/>
                <w:szCs w:val="21"/>
                <w:highlight w:val="none"/>
              </w:rPr>
              <w:t>五、响应文件的评审与磋商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 w:hRule="atLeast"/>
          <w:jc w:val="center"/>
        </w:trPr>
        <w:tc>
          <w:tcPr>
            <w:tcW w:w="1622" w:type="dxa"/>
            <w:vAlign w:val="center"/>
          </w:tcPr>
          <w:p>
            <w:pPr>
              <w:adjustRightInd w:val="0"/>
              <w:snapToGrid w:val="0"/>
              <w:spacing w:before="50" w:line="360" w:lineRule="auto"/>
              <w:jc w:val="center"/>
              <w:rPr>
                <w:rFonts w:ascii="宋体" w:hAnsi="宋体"/>
                <w:color w:val="auto"/>
                <w:szCs w:val="21"/>
                <w:highlight w:val="none"/>
              </w:rPr>
            </w:pPr>
            <w:r>
              <w:rPr>
                <w:rFonts w:hint="eastAsia" w:ascii="宋体" w:hAnsi="宋体"/>
                <w:color w:val="auto"/>
                <w:szCs w:val="21"/>
                <w:highlight w:val="none"/>
              </w:rPr>
              <w:t>第21.4款</w:t>
            </w:r>
          </w:p>
        </w:tc>
        <w:tc>
          <w:tcPr>
            <w:tcW w:w="2767" w:type="dxa"/>
            <w:vAlign w:val="center"/>
          </w:tcPr>
          <w:p>
            <w:pPr>
              <w:adjustRightInd w:val="0"/>
              <w:snapToGrid w:val="0"/>
              <w:spacing w:before="50" w:line="360" w:lineRule="auto"/>
              <w:rPr>
                <w:rFonts w:ascii="宋体" w:hAnsi="宋体"/>
                <w:color w:val="auto"/>
                <w:szCs w:val="21"/>
                <w:highlight w:val="none"/>
              </w:rPr>
            </w:pPr>
            <w:r>
              <w:rPr>
                <w:rFonts w:hint="eastAsia" w:ascii="宋体" w:hAnsi="宋体"/>
                <w:color w:val="auto"/>
                <w:szCs w:val="21"/>
                <w:highlight w:val="none"/>
              </w:rPr>
              <w:t>磋商文件规定的实质性要求和条件</w:t>
            </w:r>
          </w:p>
        </w:tc>
        <w:tc>
          <w:tcPr>
            <w:tcW w:w="4987" w:type="dxa"/>
            <w:vAlign w:val="center"/>
          </w:tcPr>
          <w:p>
            <w:pPr>
              <w:adjustRightInd w:val="0"/>
              <w:snapToGrid w:val="0"/>
              <w:spacing w:before="50" w:line="360" w:lineRule="auto"/>
              <w:rPr>
                <w:rFonts w:ascii="宋体" w:hAnsi="宋体"/>
                <w:b/>
                <w:bCs/>
                <w:color w:val="auto"/>
                <w:szCs w:val="21"/>
                <w:highlight w:val="none"/>
              </w:rPr>
            </w:pPr>
            <w:r>
              <w:rPr>
                <w:rFonts w:hint="eastAsia" w:ascii="宋体" w:hAnsi="宋体"/>
                <w:color w:val="auto"/>
                <w:highlight w:val="none"/>
              </w:rPr>
              <w:t>与磋商文件要求的所有条款、条件和规格相符，没有偏离。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8" w:hRule="atLeast"/>
          <w:jc w:val="center"/>
        </w:trPr>
        <w:tc>
          <w:tcPr>
            <w:tcW w:w="9376" w:type="dxa"/>
            <w:gridSpan w:val="3"/>
            <w:vAlign w:val="center"/>
          </w:tcPr>
          <w:p>
            <w:pPr>
              <w:adjustRightInd w:val="0"/>
              <w:snapToGrid w:val="0"/>
              <w:spacing w:before="50" w:line="360" w:lineRule="auto"/>
              <w:rPr>
                <w:rFonts w:ascii="宋体" w:hAnsi="宋体"/>
                <w:color w:val="auto"/>
                <w:szCs w:val="21"/>
                <w:highlight w:val="none"/>
              </w:rPr>
            </w:pPr>
            <w:r>
              <w:rPr>
                <w:rFonts w:hint="eastAsia" w:ascii="宋体" w:hAnsi="宋体"/>
                <w:b/>
                <w:color w:val="auto"/>
                <w:szCs w:val="21"/>
                <w:highlight w:val="none"/>
              </w:rPr>
              <w:t>六、成交结果信息公布与供应商质疑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 w:hRule="atLeast"/>
          <w:jc w:val="center"/>
        </w:trPr>
        <w:tc>
          <w:tcPr>
            <w:tcW w:w="1622" w:type="dxa"/>
            <w:vAlign w:val="center"/>
          </w:tcPr>
          <w:p>
            <w:pPr>
              <w:adjustRightInd w:val="0"/>
              <w:snapToGrid w:val="0"/>
              <w:spacing w:before="50" w:line="360" w:lineRule="auto"/>
              <w:jc w:val="center"/>
              <w:rPr>
                <w:rFonts w:ascii="宋体" w:hAnsi="宋体"/>
                <w:color w:val="auto"/>
                <w:szCs w:val="21"/>
                <w:highlight w:val="none"/>
              </w:rPr>
            </w:pPr>
            <w:r>
              <w:rPr>
                <w:rFonts w:hint="eastAsia" w:ascii="宋体" w:hAnsi="宋体"/>
                <w:color w:val="auto"/>
                <w:szCs w:val="21"/>
                <w:highlight w:val="none"/>
              </w:rPr>
              <w:t>第33.1款</w:t>
            </w:r>
          </w:p>
        </w:tc>
        <w:tc>
          <w:tcPr>
            <w:tcW w:w="2767" w:type="dxa"/>
            <w:vAlign w:val="center"/>
          </w:tcPr>
          <w:p>
            <w:pPr>
              <w:adjustRightInd w:val="0"/>
              <w:snapToGrid w:val="0"/>
              <w:spacing w:before="50" w:line="360" w:lineRule="auto"/>
              <w:rPr>
                <w:rFonts w:ascii="宋体" w:hAnsi="宋体"/>
                <w:color w:val="auto"/>
                <w:szCs w:val="21"/>
                <w:highlight w:val="none"/>
              </w:rPr>
            </w:pPr>
            <w:r>
              <w:rPr>
                <w:rFonts w:hint="eastAsia" w:ascii="宋体" w:hAnsi="宋体"/>
                <w:color w:val="auto"/>
                <w:szCs w:val="21"/>
                <w:highlight w:val="none"/>
              </w:rPr>
              <w:t>指定的媒体</w:t>
            </w:r>
          </w:p>
        </w:tc>
        <w:tc>
          <w:tcPr>
            <w:tcW w:w="4987" w:type="dxa"/>
            <w:vAlign w:val="center"/>
          </w:tcPr>
          <w:p>
            <w:pPr>
              <w:adjustRightInd w:val="0"/>
              <w:snapToGrid w:val="0"/>
              <w:spacing w:before="50" w:line="360" w:lineRule="auto"/>
              <w:rPr>
                <w:rFonts w:ascii="宋体" w:hAnsi="宋体"/>
                <w:color w:val="auto"/>
                <w:szCs w:val="21"/>
                <w:highlight w:val="none"/>
                <w:u w:val="single"/>
              </w:rPr>
            </w:pPr>
            <w:r>
              <w:rPr>
                <w:rFonts w:hint="eastAsia" w:ascii="宋体" w:hAnsi="宋体"/>
                <w:color w:val="auto"/>
                <w:szCs w:val="21"/>
                <w:highlight w:val="none"/>
                <w:u w:val="single"/>
              </w:rPr>
              <w:t>公司官网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 w:hRule="atLeast"/>
          <w:jc w:val="center"/>
        </w:trPr>
        <w:tc>
          <w:tcPr>
            <w:tcW w:w="1622" w:type="dxa"/>
            <w:vAlign w:val="center"/>
          </w:tcPr>
          <w:p>
            <w:pPr>
              <w:adjustRightInd w:val="0"/>
              <w:snapToGrid w:val="0"/>
              <w:spacing w:before="50" w:line="360" w:lineRule="auto"/>
              <w:jc w:val="center"/>
              <w:rPr>
                <w:rFonts w:ascii="宋体" w:hAnsi="宋体"/>
                <w:color w:val="auto"/>
                <w:szCs w:val="21"/>
                <w:highlight w:val="none"/>
              </w:rPr>
            </w:pPr>
            <w:r>
              <w:rPr>
                <w:rFonts w:hint="eastAsia" w:ascii="宋体" w:hAnsi="宋体"/>
                <w:color w:val="auto"/>
                <w:szCs w:val="21"/>
                <w:highlight w:val="none"/>
              </w:rPr>
              <w:t>第35.3款</w:t>
            </w:r>
          </w:p>
        </w:tc>
        <w:tc>
          <w:tcPr>
            <w:tcW w:w="2767" w:type="dxa"/>
            <w:vAlign w:val="center"/>
          </w:tcPr>
          <w:p>
            <w:pPr>
              <w:adjustRightInd w:val="0"/>
              <w:snapToGrid w:val="0"/>
              <w:spacing w:before="50" w:line="360" w:lineRule="auto"/>
              <w:rPr>
                <w:rFonts w:ascii="宋体" w:hAnsi="宋体"/>
                <w:color w:val="auto"/>
                <w:szCs w:val="21"/>
                <w:highlight w:val="none"/>
              </w:rPr>
            </w:pPr>
            <w:r>
              <w:rPr>
                <w:rFonts w:hint="eastAsia" w:ascii="宋体" w:hAnsi="宋体"/>
                <w:color w:val="auto"/>
                <w:szCs w:val="21"/>
                <w:highlight w:val="none"/>
              </w:rPr>
              <w:t>履约担保</w:t>
            </w:r>
          </w:p>
        </w:tc>
        <w:tc>
          <w:tcPr>
            <w:tcW w:w="4987" w:type="dxa"/>
            <w:vAlign w:val="center"/>
          </w:tcPr>
          <w:p>
            <w:pPr>
              <w:adjustRightInd w:val="0"/>
              <w:snapToGrid w:val="0"/>
              <w:rPr>
                <w:rFonts w:ascii="宋体" w:hAnsi="宋体"/>
                <w:color w:val="auto"/>
                <w:szCs w:val="21"/>
                <w:highlight w:val="none"/>
              </w:rPr>
            </w:pPr>
            <w:r>
              <w:rPr>
                <w:rFonts w:hint="eastAsia" w:ascii="宋体" w:hAnsi="宋体"/>
                <w:color w:val="auto"/>
                <w:szCs w:val="21"/>
                <w:highlight w:val="none"/>
              </w:rPr>
              <w:t>■ 不要求提供</w:t>
            </w:r>
          </w:p>
          <w:p>
            <w:pPr>
              <w:adjustRightInd w:val="0"/>
              <w:snapToGrid w:val="0"/>
              <w:spacing w:before="50" w:line="360" w:lineRule="auto"/>
              <w:rPr>
                <w:rFonts w:ascii="宋体" w:hAnsi="宋体"/>
                <w:color w:val="auto"/>
                <w:szCs w:val="21"/>
                <w:highlight w:val="none"/>
              </w:rPr>
            </w:pPr>
            <w:r>
              <w:rPr>
                <w:rFonts w:hint="eastAsia" w:ascii="宋体" w:hAnsi="宋体"/>
                <w:color w:val="auto"/>
                <w:szCs w:val="21"/>
                <w:highlight w:val="none"/>
              </w:rPr>
              <w:t>□ 要求提供，履约担保的金额为：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 w:hRule="atLeast"/>
          <w:jc w:val="center"/>
        </w:trPr>
        <w:tc>
          <w:tcPr>
            <w:tcW w:w="9376" w:type="dxa"/>
            <w:gridSpan w:val="3"/>
            <w:vAlign w:val="center"/>
          </w:tcPr>
          <w:p>
            <w:pPr>
              <w:adjustRightInd w:val="0"/>
              <w:snapToGrid w:val="0"/>
              <w:spacing w:before="50" w:line="360" w:lineRule="auto"/>
              <w:rPr>
                <w:rFonts w:ascii="宋体" w:hAnsi="宋体"/>
                <w:b/>
                <w:color w:val="auto"/>
                <w:szCs w:val="21"/>
                <w:highlight w:val="none"/>
              </w:rPr>
            </w:pPr>
            <w:r>
              <w:rPr>
                <w:rFonts w:hint="eastAsia" w:ascii="宋体" w:hAnsi="宋体"/>
                <w:b/>
                <w:color w:val="auto"/>
                <w:szCs w:val="21"/>
                <w:highlight w:val="none"/>
              </w:rPr>
              <w:t>七、其他规定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 w:hRule="atLeast"/>
          <w:jc w:val="center"/>
        </w:trPr>
        <w:tc>
          <w:tcPr>
            <w:tcW w:w="1622" w:type="dxa"/>
            <w:vAlign w:val="center"/>
          </w:tcPr>
          <w:p>
            <w:pPr>
              <w:adjustRightInd w:val="0"/>
              <w:snapToGrid w:val="0"/>
              <w:spacing w:before="50" w:line="360" w:lineRule="auto"/>
              <w:jc w:val="center"/>
              <w:rPr>
                <w:rFonts w:ascii="宋体" w:hAnsi="宋体"/>
                <w:color w:val="auto"/>
                <w:szCs w:val="21"/>
                <w:highlight w:val="none"/>
              </w:rPr>
            </w:pPr>
            <w:r>
              <w:rPr>
                <w:rFonts w:hint="eastAsia" w:ascii="宋体" w:hAnsi="宋体"/>
                <w:color w:val="auto"/>
                <w:szCs w:val="21"/>
                <w:highlight w:val="none"/>
              </w:rPr>
              <w:t>第3</w:t>
            </w:r>
            <w:r>
              <w:rPr>
                <w:rFonts w:ascii="宋体" w:hAnsi="宋体"/>
                <w:color w:val="auto"/>
                <w:szCs w:val="21"/>
                <w:highlight w:val="none"/>
              </w:rPr>
              <w:t>8</w:t>
            </w:r>
            <w:r>
              <w:rPr>
                <w:rFonts w:hint="eastAsia" w:ascii="宋体" w:hAnsi="宋体"/>
                <w:color w:val="auto"/>
                <w:szCs w:val="21"/>
                <w:highlight w:val="none"/>
              </w:rPr>
              <w:t>.1款</w:t>
            </w:r>
          </w:p>
        </w:tc>
        <w:tc>
          <w:tcPr>
            <w:tcW w:w="2767" w:type="dxa"/>
            <w:vAlign w:val="center"/>
          </w:tcPr>
          <w:p>
            <w:pPr>
              <w:adjustRightInd w:val="0"/>
              <w:snapToGrid w:val="0"/>
              <w:spacing w:before="50" w:line="360" w:lineRule="auto"/>
              <w:rPr>
                <w:rFonts w:ascii="宋体" w:hAnsi="宋体"/>
                <w:color w:val="auto"/>
                <w:szCs w:val="21"/>
                <w:highlight w:val="none"/>
              </w:rPr>
            </w:pPr>
            <w:r>
              <w:rPr>
                <w:rFonts w:hint="eastAsia" w:ascii="宋体" w:hAnsi="宋体"/>
                <w:color w:val="auto"/>
                <w:szCs w:val="21"/>
                <w:highlight w:val="none"/>
              </w:rPr>
              <w:t>其他规定</w:t>
            </w:r>
          </w:p>
        </w:tc>
        <w:tc>
          <w:tcPr>
            <w:tcW w:w="4987" w:type="dxa"/>
            <w:vAlign w:val="center"/>
          </w:tcPr>
          <w:p>
            <w:pPr>
              <w:adjustRightInd w:val="0"/>
              <w:snapToGrid w:val="0"/>
              <w:spacing w:before="120" w:beforeLines="50" w:line="360" w:lineRule="auto"/>
              <w:rPr>
                <w:rFonts w:ascii="宋体" w:hAnsi="宋体"/>
                <w:b/>
                <w:bCs/>
                <w:color w:val="auto"/>
                <w:highlight w:val="none"/>
              </w:rPr>
            </w:pPr>
            <w:r>
              <w:rPr>
                <w:rFonts w:hint="eastAsia" w:ascii="宋体" w:hAnsi="宋体"/>
                <w:b/>
                <w:bCs/>
                <w:color w:val="auto"/>
                <w:highlight w:val="none"/>
              </w:rPr>
              <w:t>对列入失信被执行人、重大税收违法案件当事人名单、采购严重违法失信行为记录名单的供应商，将被拒绝其参与采购活动。</w:t>
            </w: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1、信用信息查询的查询渠道：“信用中国”网站（www.creditchina.gov.cn）</w:t>
            </w: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2、信用信息查询的截止时点：至本项目投标截止时间止。</w:t>
            </w: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3、信用信息查询记录的具体方式：采购人或采购代理机构在开标后在规定的查询渠道进行查询。</w:t>
            </w: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4、信用信息查询记录证据留存的具体方式：查询记录的网上打印件。</w:t>
            </w:r>
          </w:p>
          <w:p>
            <w:pPr>
              <w:adjustRightInd w:val="0"/>
              <w:snapToGrid w:val="0"/>
              <w:spacing w:before="50" w:line="360" w:lineRule="auto"/>
              <w:rPr>
                <w:rFonts w:ascii="宋体" w:hAnsi="宋体"/>
                <w:color w:val="auto"/>
                <w:szCs w:val="21"/>
                <w:highlight w:val="none"/>
              </w:rPr>
            </w:pPr>
            <w:r>
              <w:rPr>
                <w:rFonts w:hint="eastAsia" w:ascii="宋体" w:hAnsi="宋体"/>
                <w:color w:val="auto"/>
                <w:szCs w:val="21"/>
                <w:highlight w:val="none"/>
              </w:rPr>
              <w:t>5、信用信息的使用规则：查询后交由评标委员会评定。</w:t>
            </w:r>
          </w:p>
        </w:tc>
      </w:tr>
    </w:tbl>
    <w:p>
      <w:pPr>
        <w:adjustRightInd w:val="0"/>
        <w:snapToGrid w:val="0"/>
        <w:spacing w:line="360" w:lineRule="auto"/>
        <w:rPr>
          <w:rFonts w:ascii="宋体" w:hAnsi="宋体"/>
          <w:b/>
          <w:bCs/>
          <w:color w:val="auto"/>
          <w:szCs w:val="21"/>
          <w:highlight w:val="none"/>
        </w:rPr>
      </w:pPr>
    </w:p>
    <w:p>
      <w:pPr>
        <w:rPr>
          <w:rFonts w:ascii="宋体" w:hAnsi="宋体"/>
          <w:color w:val="auto"/>
          <w:highlight w:val="none"/>
        </w:rPr>
      </w:pPr>
      <w:r>
        <w:rPr>
          <w:color w:val="auto"/>
          <w:highlight w:val="none"/>
        </w:rPr>
        <w:commentReference w:id="2"/>
      </w:r>
      <w:bookmarkStart w:id="19" w:name="_Toc106890503"/>
      <w:r>
        <w:rPr>
          <w:rFonts w:ascii="宋体" w:hAnsi="宋体"/>
          <w:color w:val="auto"/>
          <w:highlight w:val="none"/>
        </w:rPr>
        <w:br w:type="page"/>
      </w:r>
    </w:p>
    <w:p>
      <w:pPr>
        <w:pStyle w:val="3"/>
        <w:keepNext w:val="0"/>
        <w:keepLines w:val="0"/>
        <w:adjustRightInd w:val="0"/>
        <w:snapToGrid w:val="0"/>
        <w:spacing w:before="120" w:beforeLines="50"/>
        <w:jc w:val="center"/>
        <w:rPr>
          <w:rFonts w:ascii="宋体" w:hAnsi="宋体"/>
          <w:color w:val="auto"/>
          <w:highlight w:val="none"/>
        </w:rPr>
      </w:pPr>
      <w:r>
        <w:rPr>
          <w:rFonts w:hint="eastAsia" w:ascii="宋体" w:hAnsi="宋体"/>
          <w:color w:val="auto"/>
          <w:highlight w:val="none"/>
        </w:rPr>
        <w:t>第二节 磋商须知正文</w:t>
      </w:r>
      <w:bookmarkEnd w:id="19"/>
    </w:p>
    <w:p>
      <w:pPr>
        <w:pStyle w:val="4"/>
        <w:keepNext w:val="0"/>
        <w:keepLines w:val="0"/>
        <w:adjustRightInd w:val="0"/>
        <w:snapToGrid w:val="0"/>
        <w:spacing w:before="120" w:beforeLines="50" w:after="0" w:line="360" w:lineRule="auto"/>
        <w:jc w:val="center"/>
        <w:rPr>
          <w:rFonts w:ascii="宋体" w:hAnsi="宋体"/>
          <w:color w:val="auto"/>
          <w:sz w:val="28"/>
          <w:szCs w:val="28"/>
          <w:highlight w:val="none"/>
        </w:rPr>
      </w:pPr>
      <w:bookmarkStart w:id="20" w:name="_Toc106890504"/>
      <w:r>
        <w:rPr>
          <w:rFonts w:hint="eastAsia" w:ascii="宋体" w:hAnsi="宋体"/>
          <w:color w:val="auto"/>
          <w:sz w:val="28"/>
          <w:szCs w:val="28"/>
          <w:highlight w:val="none"/>
        </w:rPr>
        <w:t>一、说  明</w:t>
      </w:r>
      <w:bookmarkEnd w:id="20"/>
    </w:p>
    <w:p>
      <w:pPr>
        <w:pStyle w:val="5"/>
        <w:adjustRightInd w:val="0"/>
        <w:snapToGrid w:val="0"/>
        <w:spacing w:before="50" w:after="0"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1.适用范围</w:t>
      </w:r>
    </w:p>
    <w:p>
      <w:pPr>
        <w:adjustRightInd w:val="0"/>
        <w:snapToGrid w:val="0"/>
        <w:spacing w:before="120"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1.1本竞争性磋商文件仅适用于本章第一节“磋商须知前附表”（以下简称</w:t>
      </w:r>
      <w:r>
        <w:rPr>
          <w:rFonts w:hint="eastAsia" w:ascii="宋体" w:hAnsi="宋体"/>
          <w:b/>
          <w:color w:val="auto"/>
          <w:szCs w:val="21"/>
          <w:highlight w:val="none"/>
        </w:rPr>
        <w:t>【磋商须知前附表】</w:t>
      </w:r>
      <w:r>
        <w:rPr>
          <w:rFonts w:hint="eastAsia" w:ascii="宋体" w:hAnsi="宋体"/>
          <w:color w:val="auto"/>
          <w:szCs w:val="21"/>
          <w:highlight w:val="none"/>
        </w:rPr>
        <w:t>）中所叙述的采购项目。</w:t>
      </w:r>
    </w:p>
    <w:p>
      <w:pPr>
        <w:pStyle w:val="5"/>
        <w:keepNext w:val="0"/>
        <w:keepLines w:val="0"/>
        <w:adjustRightInd w:val="0"/>
        <w:snapToGrid w:val="0"/>
        <w:spacing w:before="50" w:after="0"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2.定义</w:t>
      </w:r>
    </w:p>
    <w:p>
      <w:pPr>
        <w:adjustRightInd w:val="0"/>
        <w:snapToGrid w:val="0"/>
        <w:spacing w:before="120"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2.1采购项目联系人姓名和电话见</w:t>
      </w:r>
      <w:r>
        <w:rPr>
          <w:rFonts w:hint="eastAsia" w:ascii="宋体" w:hAnsi="宋体"/>
          <w:b/>
          <w:color w:val="auto"/>
          <w:szCs w:val="21"/>
          <w:highlight w:val="none"/>
        </w:rPr>
        <w:t>【磋商须知前附表】</w:t>
      </w:r>
      <w:r>
        <w:rPr>
          <w:rFonts w:hint="eastAsia" w:ascii="宋体" w:hAnsi="宋体"/>
          <w:color w:val="auto"/>
          <w:szCs w:val="21"/>
          <w:highlight w:val="none"/>
        </w:rPr>
        <w:t>。</w:t>
      </w:r>
    </w:p>
    <w:p>
      <w:pPr>
        <w:adjustRightInd w:val="0"/>
        <w:snapToGrid w:val="0"/>
        <w:spacing w:before="120"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2.2采购人名称、地址、电话、联系人见</w:t>
      </w:r>
      <w:r>
        <w:rPr>
          <w:rFonts w:hint="eastAsia" w:ascii="宋体" w:hAnsi="宋体"/>
          <w:b/>
          <w:color w:val="auto"/>
          <w:szCs w:val="21"/>
          <w:highlight w:val="none"/>
        </w:rPr>
        <w:t>【磋商须知前附表】</w:t>
      </w:r>
      <w:r>
        <w:rPr>
          <w:rFonts w:hint="eastAsia" w:ascii="宋体" w:hAnsi="宋体"/>
          <w:color w:val="auto"/>
          <w:szCs w:val="21"/>
          <w:highlight w:val="none"/>
        </w:rPr>
        <w:t>。</w:t>
      </w:r>
    </w:p>
    <w:p>
      <w:pPr>
        <w:adjustRightInd w:val="0"/>
        <w:snapToGrid w:val="0"/>
        <w:spacing w:before="120"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2.3采购代理机构名称、地址、电话、联系人见</w:t>
      </w:r>
      <w:r>
        <w:rPr>
          <w:rFonts w:hint="eastAsia" w:ascii="宋体" w:hAnsi="宋体"/>
          <w:b/>
          <w:color w:val="auto"/>
          <w:szCs w:val="21"/>
          <w:highlight w:val="none"/>
        </w:rPr>
        <w:t>【磋商须知前附表】。</w:t>
      </w:r>
    </w:p>
    <w:p>
      <w:pPr>
        <w:adjustRightInd w:val="0"/>
        <w:snapToGrid w:val="0"/>
        <w:spacing w:before="120" w:beforeLines="50" w:line="360" w:lineRule="auto"/>
        <w:ind w:firstLine="420" w:firstLineChars="200"/>
        <w:jc w:val="left"/>
        <w:rPr>
          <w:rFonts w:ascii="宋体" w:hAnsi="宋体" w:cs="宋体"/>
          <w:color w:val="auto"/>
          <w:kern w:val="0"/>
          <w:szCs w:val="21"/>
          <w:highlight w:val="none"/>
          <w:lang w:val="zh-CN"/>
        </w:rPr>
      </w:pPr>
      <w:r>
        <w:rPr>
          <w:rFonts w:hint="eastAsia" w:ascii="宋体" w:hAnsi="宋体"/>
          <w:color w:val="auto"/>
          <w:szCs w:val="21"/>
          <w:highlight w:val="none"/>
        </w:rPr>
        <w:t>2.4供应商是指响应磋商文件要求、参加竞争性磋商采购的法人、其他组织或者自然人</w:t>
      </w:r>
      <w:r>
        <w:rPr>
          <w:rFonts w:hint="eastAsia" w:ascii="宋体" w:hAnsi="宋体"/>
          <w:b/>
          <w:color w:val="auto"/>
          <w:szCs w:val="21"/>
          <w:highlight w:val="none"/>
        </w:rPr>
        <w:t>。</w:t>
      </w:r>
    </w:p>
    <w:p>
      <w:pPr>
        <w:pStyle w:val="5"/>
        <w:keepNext w:val="0"/>
        <w:keepLines w:val="0"/>
        <w:adjustRightInd w:val="0"/>
        <w:snapToGrid w:val="0"/>
        <w:spacing w:before="50" w:after="0"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3.供应商的资格要求</w:t>
      </w:r>
    </w:p>
    <w:p>
      <w:pPr>
        <w:adjustRightInd w:val="0"/>
        <w:snapToGrid w:val="0"/>
        <w:spacing w:before="120"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3.1供应商应当符合</w:t>
      </w:r>
      <w:r>
        <w:rPr>
          <w:rFonts w:hint="eastAsia" w:ascii="宋体" w:hAnsi="宋体"/>
          <w:b/>
          <w:color w:val="auto"/>
          <w:szCs w:val="21"/>
          <w:highlight w:val="none"/>
        </w:rPr>
        <w:t>【磋商须知前附表】</w:t>
      </w:r>
      <w:r>
        <w:rPr>
          <w:rFonts w:hint="eastAsia" w:ascii="宋体" w:hAnsi="宋体"/>
          <w:color w:val="auto"/>
          <w:szCs w:val="21"/>
          <w:highlight w:val="none"/>
        </w:rPr>
        <w:t>规定的供应商资格条件。</w:t>
      </w:r>
    </w:p>
    <w:p>
      <w:pPr>
        <w:adjustRightInd w:val="0"/>
        <w:snapToGrid w:val="0"/>
        <w:spacing w:before="120"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3.2</w:t>
      </w:r>
      <w:r>
        <w:rPr>
          <w:rFonts w:hint="eastAsia" w:ascii="宋体" w:hAnsi="宋体"/>
          <w:b/>
          <w:color w:val="auto"/>
          <w:szCs w:val="21"/>
          <w:highlight w:val="none"/>
        </w:rPr>
        <w:t>【磋商须知前附表】</w:t>
      </w:r>
      <w:r>
        <w:rPr>
          <w:rFonts w:hint="eastAsia" w:ascii="宋体" w:hAnsi="宋体"/>
          <w:color w:val="auto"/>
          <w:szCs w:val="21"/>
          <w:highlight w:val="none"/>
        </w:rPr>
        <w:t>规定接受联合体形式的，供应商除应符合本章第3.1</w:t>
      </w:r>
      <w:r>
        <w:rPr>
          <w:rFonts w:hint="eastAsia" w:ascii="宋体" w:hAnsi="宋体" w:cs="宋体"/>
          <w:color w:val="auto"/>
          <w:kern w:val="0"/>
          <w:szCs w:val="21"/>
          <w:highlight w:val="none"/>
          <w:lang w:val="zh-CN"/>
        </w:rPr>
        <w:t>款</w:t>
      </w:r>
      <w:r>
        <w:rPr>
          <w:rFonts w:hint="eastAsia" w:ascii="宋体" w:hAnsi="宋体"/>
          <w:color w:val="auto"/>
          <w:szCs w:val="21"/>
          <w:highlight w:val="none"/>
        </w:rPr>
        <w:t xml:space="preserve">规定外，还应遵守以下规定： </w:t>
      </w:r>
    </w:p>
    <w:p>
      <w:pPr>
        <w:adjustRightInd w:val="0"/>
        <w:snapToGrid w:val="0"/>
        <w:spacing w:before="120"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（l）联合体中有同类资质的供应商按照联合体分工承担相同工作的，应当按照资质等级较低的供应商确定资质等级。</w:t>
      </w:r>
    </w:p>
    <w:p>
      <w:pPr>
        <w:adjustRightInd w:val="0"/>
        <w:snapToGrid w:val="0"/>
        <w:spacing w:before="120"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（2）联合体各方应按磋商文件提供的格式签订联合体协议书，明确联合体牵头人和各方的权利义务、合同工作量比例；</w:t>
      </w:r>
    </w:p>
    <w:p>
      <w:pPr>
        <w:adjustRightInd w:val="0"/>
        <w:snapToGrid w:val="0"/>
        <w:spacing w:before="120" w:beforeLines="50" w:line="360" w:lineRule="auto"/>
        <w:ind w:firstLine="420" w:firstLineChars="200"/>
        <w:jc w:val="left"/>
        <w:rPr>
          <w:rFonts w:ascii="宋体" w:hAnsi="宋体" w:cs="宋体"/>
          <w:color w:val="auto"/>
          <w:kern w:val="0"/>
          <w:szCs w:val="21"/>
          <w:highlight w:val="none"/>
          <w:lang w:val="zh-CN"/>
        </w:rPr>
      </w:pPr>
      <w:r>
        <w:rPr>
          <w:rFonts w:hint="eastAsia" w:ascii="宋体" w:hAnsi="宋体"/>
          <w:color w:val="auto"/>
          <w:szCs w:val="21"/>
          <w:highlight w:val="none"/>
        </w:rPr>
        <w:t>（3）联合体各方签订联合体协议书后，</w:t>
      </w:r>
      <w:r>
        <w:rPr>
          <w:rFonts w:hint="eastAsia" w:ascii="宋体" w:hAnsi="宋体" w:cs="宋体"/>
          <w:color w:val="auto"/>
          <w:kern w:val="0"/>
          <w:szCs w:val="21"/>
          <w:highlight w:val="none"/>
          <w:lang w:val="zh-CN"/>
        </w:rPr>
        <w:t>不得再单独参加或者与其他供应商组成新的联合体参加同一合同项下的采购活动。</w:t>
      </w:r>
    </w:p>
    <w:p>
      <w:pPr>
        <w:adjustRightInd w:val="0"/>
        <w:snapToGrid w:val="0"/>
        <w:spacing w:before="120" w:beforeLines="50" w:line="360" w:lineRule="auto"/>
        <w:ind w:firstLine="420" w:firstLineChars="200"/>
        <w:jc w:val="left"/>
        <w:rPr>
          <w:rFonts w:ascii="宋体" w:hAnsi="宋体"/>
          <w:b/>
          <w:color w:val="auto"/>
          <w:szCs w:val="21"/>
          <w:highlight w:val="none"/>
        </w:rPr>
      </w:pPr>
      <w:r>
        <w:rPr>
          <w:rFonts w:hint="eastAsia" w:ascii="宋体" w:hAnsi="宋体" w:cs="宋体"/>
          <w:color w:val="auto"/>
          <w:kern w:val="0"/>
          <w:szCs w:val="21"/>
          <w:highlight w:val="none"/>
          <w:lang w:val="zh-CN"/>
        </w:rPr>
        <w:t>3.3采购人、采购代理机构通过发布竞争性磋商邀请公告（附录1）或竞争性磋商邀请函（附录2）邀请供应商参与磋商。</w:t>
      </w:r>
      <w:r>
        <w:rPr>
          <w:rFonts w:hint="eastAsia" w:ascii="宋体" w:hAnsi="宋体"/>
          <w:color w:val="auto"/>
          <w:szCs w:val="21"/>
          <w:highlight w:val="none"/>
        </w:rPr>
        <w:t>供应商邀请方式见</w:t>
      </w:r>
      <w:r>
        <w:rPr>
          <w:rFonts w:hint="eastAsia" w:ascii="宋体" w:hAnsi="宋体"/>
          <w:b/>
          <w:color w:val="auto"/>
          <w:szCs w:val="21"/>
          <w:highlight w:val="none"/>
        </w:rPr>
        <w:t>【磋商须知前附表】</w:t>
      </w:r>
    </w:p>
    <w:p>
      <w:pPr>
        <w:adjustRightInd w:val="0"/>
        <w:snapToGrid w:val="0"/>
        <w:spacing w:before="120" w:beforeLines="50" w:line="360" w:lineRule="auto"/>
        <w:ind w:firstLine="420" w:firstLineChars="200"/>
        <w:jc w:val="left"/>
        <w:rPr>
          <w:rFonts w:ascii="宋体" w:hAnsi="宋体" w:cs="宋体"/>
          <w:color w:val="auto"/>
          <w:kern w:val="0"/>
          <w:szCs w:val="21"/>
          <w:highlight w:val="none"/>
          <w:lang w:val="zh-CN"/>
        </w:rPr>
      </w:pPr>
      <w:r>
        <w:rPr>
          <w:rFonts w:hint="eastAsia" w:ascii="宋体" w:hAnsi="宋体"/>
          <w:color w:val="auto"/>
          <w:szCs w:val="21"/>
          <w:highlight w:val="none"/>
        </w:rPr>
        <w:t>3.4</w:t>
      </w:r>
      <w:r>
        <w:rPr>
          <w:rFonts w:hint="eastAsia" w:ascii="宋体" w:hAnsi="宋体" w:cs="宋体"/>
          <w:color w:val="auto"/>
          <w:kern w:val="0"/>
          <w:szCs w:val="21"/>
          <w:highlight w:val="none"/>
          <w:lang w:val="zh-CN"/>
        </w:rPr>
        <w:t>采购人、采购代理机构负责对参与磋商的供应商进行资格审查，并按照第一章的格式向通过资格审查的供应商发出“磋商邀请”。</w:t>
      </w:r>
    </w:p>
    <w:p>
      <w:pPr>
        <w:pStyle w:val="5"/>
        <w:keepNext w:val="0"/>
        <w:keepLines w:val="0"/>
        <w:adjustRightInd w:val="0"/>
        <w:snapToGrid w:val="0"/>
        <w:spacing w:before="50" w:after="0"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4.参与磋商的费用 </w:t>
      </w:r>
    </w:p>
    <w:p>
      <w:pPr>
        <w:adjustRightInd w:val="0"/>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4.1无论磋商的结果如何，供应商应自行承担所有与竞争性磋商采购活动有关的全部费用。</w:t>
      </w:r>
    </w:p>
    <w:p>
      <w:pPr>
        <w:pStyle w:val="5"/>
        <w:keepNext w:val="0"/>
        <w:keepLines w:val="0"/>
        <w:adjustRightInd w:val="0"/>
        <w:snapToGrid w:val="0"/>
        <w:spacing w:before="50" w:after="0"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5.现场勘察</w:t>
      </w:r>
    </w:p>
    <w:p>
      <w:pPr>
        <w:adjustRightInd w:val="0"/>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5.1供应商应按</w:t>
      </w:r>
      <w:r>
        <w:rPr>
          <w:rFonts w:hint="eastAsia" w:ascii="宋体" w:hAnsi="宋体"/>
          <w:b/>
          <w:color w:val="auto"/>
          <w:szCs w:val="21"/>
          <w:highlight w:val="none"/>
        </w:rPr>
        <w:t>【磋商须知前附表】</w:t>
      </w:r>
      <w:r>
        <w:rPr>
          <w:rFonts w:hint="eastAsia" w:ascii="宋体" w:hAnsi="宋体"/>
          <w:color w:val="auto"/>
          <w:highlight w:val="none"/>
        </w:rPr>
        <w:t>中规定</w:t>
      </w:r>
      <w:r>
        <w:rPr>
          <w:rFonts w:hint="eastAsia" w:ascii="宋体" w:hAnsi="宋体"/>
          <w:color w:val="auto"/>
          <w:szCs w:val="21"/>
          <w:highlight w:val="none"/>
        </w:rPr>
        <w:t>对采购项目现场和周围环境的现场考察。</w:t>
      </w:r>
    </w:p>
    <w:p>
      <w:pPr>
        <w:adjustRightInd w:val="0"/>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5.2勘察现场的费用由供应商自己承担，勘察期间所发生的人身伤害及财产损失由供应商自己负责。</w:t>
      </w:r>
    </w:p>
    <w:p>
      <w:pPr>
        <w:adjustRightInd w:val="0"/>
        <w:snapToGrid w:val="0"/>
        <w:spacing w:before="120" w:beforeLines="50" w:line="360" w:lineRule="auto"/>
        <w:ind w:firstLine="420" w:firstLineChars="200"/>
        <w:jc w:val="left"/>
        <w:rPr>
          <w:rFonts w:ascii="宋体" w:hAnsi="宋体"/>
          <w:b/>
          <w:color w:val="auto"/>
          <w:szCs w:val="21"/>
          <w:highlight w:val="none"/>
        </w:rPr>
      </w:pPr>
      <w:r>
        <w:rPr>
          <w:rFonts w:hint="eastAsia" w:ascii="宋体" w:hAnsi="宋体"/>
          <w:color w:val="auto"/>
          <w:szCs w:val="21"/>
          <w:highlight w:val="none"/>
        </w:rPr>
        <w:t>5.3采购人不对供应商据此而做出的推论、理解和结论负责。一旦成交，供应商不得以任何借口，而提出额外补偿，或延长合同期限的要求。</w:t>
      </w:r>
    </w:p>
    <w:p>
      <w:pPr>
        <w:pStyle w:val="4"/>
        <w:keepNext w:val="0"/>
        <w:keepLines w:val="0"/>
        <w:adjustRightInd w:val="0"/>
        <w:snapToGrid w:val="0"/>
        <w:spacing w:before="120" w:beforeLines="50" w:after="0" w:line="360" w:lineRule="auto"/>
        <w:jc w:val="center"/>
        <w:rPr>
          <w:rFonts w:ascii="宋体" w:hAnsi="宋体"/>
          <w:color w:val="auto"/>
          <w:sz w:val="28"/>
          <w:szCs w:val="28"/>
          <w:highlight w:val="none"/>
        </w:rPr>
      </w:pPr>
      <w:bookmarkStart w:id="21" w:name="_Toc106890505"/>
    </w:p>
    <w:p>
      <w:pPr>
        <w:pStyle w:val="4"/>
        <w:keepNext w:val="0"/>
        <w:keepLines w:val="0"/>
        <w:adjustRightInd w:val="0"/>
        <w:snapToGrid w:val="0"/>
        <w:spacing w:before="120" w:beforeLines="50" w:after="0" w:line="360" w:lineRule="auto"/>
        <w:jc w:val="center"/>
        <w:rPr>
          <w:rFonts w:ascii="宋体" w:hAnsi="宋体"/>
          <w:color w:val="auto"/>
          <w:sz w:val="28"/>
          <w:szCs w:val="28"/>
          <w:highlight w:val="none"/>
        </w:rPr>
      </w:pPr>
      <w:r>
        <w:rPr>
          <w:rFonts w:hint="eastAsia" w:ascii="宋体" w:hAnsi="宋体"/>
          <w:color w:val="auto"/>
          <w:sz w:val="28"/>
          <w:szCs w:val="28"/>
          <w:highlight w:val="none"/>
        </w:rPr>
        <w:t>二、磋商文件</w:t>
      </w:r>
      <w:bookmarkEnd w:id="21"/>
    </w:p>
    <w:p>
      <w:pPr>
        <w:pStyle w:val="5"/>
        <w:adjustRightInd w:val="0"/>
        <w:snapToGrid w:val="0"/>
        <w:spacing w:before="50" w:after="0"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6.磋商文件的组成</w:t>
      </w:r>
    </w:p>
    <w:p>
      <w:pPr>
        <w:pStyle w:val="18"/>
        <w:adjustRightInd w:val="0"/>
        <w:snapToGrid w:val="0"/>
        <w:spacing w:before="120" w:beforeLines="50" w:line="360" w:lineRule="auto"/>
        <w:ind w:firstLine="420" w:firstLineChars="200"/>
        <w:rPr>
          <w:rFonts w:hAnsi="宋体"/>
          <w:color w:val="auto"/>
          <w:highlight w:val="none"/>
        </w:rPr>
      </w:pPr>
      <w:r>
        <w:rPr>
          <w:rFonts w:hint="eastAsia" w:hAnsi="宋体"/>
          <w:color w:val="auto"/>
          <w:highlight w:val="none"/>
        </w:rPr>
        <w:t>6.1磋商文件由下列文件组成：</w:t>
      </w:r>
    </w:p>
    <w:p>
      <w:pPr>
        <w:pStyle w:val="18"/>
        <w:adjustRightInd w:val="0"/>
        <w:snapToGrid w:val="0"/>
        <w:spacing w:before="120" w:beforeLines="50" w:line="360" w:lineRule="auto"/>
        <w:ind w:firstLine="420" w:firstLineChars="200"/>
        <w:rPr>
          <w:rFonts w:hAnsi="宋体"/>
          <w:color w:val="auto"/>
          <w:highlight w:val="none"/>
        </w:rPr>
      </w:pPr>
      <w:r>
        <w:rPr>
          <w:rFonts w:hint="eastAsia" w:hAnsi="宋体"/>
          <w:color w:val="auto"/>
          <w:highlight w:val="none"/>
        </w:rPr>
        <w:t>第一章采购邀请</w:t>
      </w:r>
    </w:p>
    <w:p>
      <w:pPr>
        <w:pStyle w:val="18"/>
        <w:adjustRightInd w:val="0"/>
        <w:snapToGrid w:val="0"/>
        <w:spacing w:before="120" w:beforeLines="50" w:line="360" w:lineRule="auto"/>
        <w:ind w:firstLine="420" w:firstLineChars="200"/>
        <w:rPr>
          <w:rFonts w:hAnsi="宋体"/>
          <w:color w:val="auto"/>
          <w:highlight w:val="none"/>
        </w:rPr>
      </w:pPr>
      <w:r>
        <w:rPr>
          <w:rFonts w:hint="eastAsia" w:hAnsi="宋体"/>
          <w:color w:val="auto"/>
          <w:highlight w:val="none"/>
        </w:rPr>
        <w:t>第二章 磋商须知</w:t>
      </w:r>
    </w:p>
    <w:p>
      <w:pPr>
        <w:pStyle w:val="18"/>
        <w:adjustRightInd w:val="0"/>
        <w:snapToGrid w:val="0"/>
        <w:spacing w:before="120" w:beforeLines="50" w:line="360" w:lineRule="auto"/>
        <w:ind w:firstLine="420" w:firstLineChars="200"/>
        <w:rPr>
          <w:rFonts w:hAnsi="宋体"/>
          <w:color w:val="auto"/>
          <w:highlight w:val="none"/>
        </w:rPr>
      </w:pPr>
      <w:r>
        <w:rPr>
          <w:rFonts w:hint="eastAsia" w:hAnsi="宋体"/>
          <w:color w:val="auto"/>
          <w:highlight w:val="none"/>
        </w:rPr>
        <w:t>第三章 合同草案条款</w:t>
      </w:r>
    </w:p>
    <w:p>
      <w:pPr>
        <w:pStyle w:val="18"/>
        <w:adjustRightInd w:val="0"/>
        <w:snapToGrid w:val="0"/>
        <w:spacing w:before="120" w:beforeLines="50" w:line="360" w:lineRule="auto"/>
        <w:ind w:firstLine="420" w:firstLineChars="200"/>
        <w:rPr>
          <w:rFonts w:hAnsi="宋体"/>
          <w:color w:val="auto"/>
          <w:highlight w:val="none"/>
        </w:rPr>
      </w:pPr>
      <w:r>
        <w:rPr>
          <w:rFonts w:hint="eastAsia" w:hAnsi="宋体"/>
          <w:color w:val="auto"/>
          <w:highlight w:val="none"/>
        </w:rPr>
        <w:t>第四章 采购需求</w:t>
      </w:r>
    </w:p>
    <w:p>
      <w:pPr>
        <w:pStyle w:val="18"/>
        <w:adjustRightInd w:val="0"/>
        <w:snapToGrid w:val="0"/>
        <w:spacing w:before="120" w:beforeLines="50" w:line="360" w:lineRule="auto"/>
        <w:ind w:firstLine="420" w:firstLineChars="200"/>
        <w:rPr>
          <w:rFonts w:hAnsi="宋体"/>
          <w:color w:val="auto"/>
          <w:highlight w:val="none"/>
        </w:rPr>
      </w:pPr>
      <w:r>
        <w:rPr>
          <w:rFonts w:hint="eastAsia" w:hAnsi="宋体"/>
          <w:color w:val="auto"/>
          <w:highlight w:val="none"/>
        </w:rPr>
        <w:t>第五章 响应文件组成</w:t>
      </w:r>
    </w:p>
    <w:p>
      <w:pPr>
        <w:pStyle w:val="18"/>
        <w:adjustRightInd w:val="0"/>
        <w:snapToGrid w:val="0"/>
        <w:spacing w:before="120" w:beforeLines="50" w:line="360" w:lineRule="auto"/>
        <w:ind w:firstLine="420" w:firstLineChars="200"/>
        <w:rPr>
          <w:rFonts w:hAnsi="宋体" w:cs="宋体"/>
          <w:color w:val="auto"/>
          <w:kern w:val="0"/>
          <w:highlight w:val="none"/>
        </w:rPr>
      </w:pPr>
      <w:r>
        <w:rPr>
          <w:rFonts w:hint="eastAsia" w:hAnsi="宋体"/>
          <w:color w:val="auto"/>
          <w:highlight w:val="none"/>
        </w:rPr>
        <w:t>6.2</w:t>
      </w:r>
      <w:r>
        <w:rPr>
          <w:rFonts w:hint="eastAsia" w:hAnsi="宋体" w:cs="宋体"/>
          <w:color w:val="auto"/>
          <w:kern w:val="0"/>
          <w:highlight w:val="none"/>
        </w:rPr>
        <w:t>采购人、采购代理机构或者磋商小组在提交首次响应文件截止之日前对已发出的磋商文件进行的澄清或者修改，构成磋商文件的组成部分。</w:t>
      </w:r>
    </w:p>
    <w:p>
      <w:pPr>
        <w:pStyle w:val="18"/>
        <w:adjustRightInd w:val="0"/>
        <w:snapToGrid w:val="0"/>
        <w:spacing w:before="120" w:beforeLines="50" w:line="360" w:lineRule="auto"/>
        <w:ind w:firstLine="420" w:firstLineChars="200"/>
        <w:rPr>
          <w:rFonts w:hAnsi="宋体"/>
          <w:color w:val="auto"/>
          <w:highlight w:val="none"/>
        </w:rPr>
      </w:pPr>
      <w:r>
        <w:rPr>
          <w:rFonts w:hint="eastAsia" w:hAnsi="宋体" w:cs="宋体"/>
          <w:color w:val="auto"/>
          <w:kern w:val="0"/>
          <w:highlight w:val="none"/>
        </w:rPr>
        <w:t>6.3磋商文件中，磋商小组根据与供应商磋商情况可能实质性变动的内容见</w:t>
      </w:r>
      <w:r>
        <w:rPr>
          <w:rFonts w:hint="eastAsia" w:hAnsi="宋体"/>
          <w:b/>
          <w:color w:val="auto"/>
          <w:highlight w:val="none"/>
        </w:rPr>
        <w:t>【磋商须知前附表】</w:t>
      </w:r>
      <w:r>
        <w:rPr>
          <w:rFonts w:hint="eastAsia" w:hAnsi="宋体" w:cs="宋体"/>
          <w:color w:val="auto"/>
          <w:kern w:val="0"/>
          <w:highlight w:val="none"/>
        </w:rPr>
        <w:t>。对磋商文件作出的实质性变动是磋商文件的有效组成部分。</w:t>
      </w:r>
    </w:p>
    <w:p>
      <w:pPr>
        <w:pStyle w:val="18"/>
        <w:adjustRightInd w:val="0"/>
        <w:snapToGrid w:val="0"/>
        <w:spacing w:before="120" w:beforeLines="50" w:line="360" w:lineRule="auto"/>
        <w:ind w:firstLine="420" w:firstLineChars="200"/>
        <w:rPr>
          <w:rFonts w:hAnsi="宋体"/>
          <w:color w:val="auto"/>
          <w:highlight w:val="none"/>
        </w:rPr>
      </w:pPr>
      <w:r>
        <w:rPr>
          <w:rFonts w:hint="eastAsia" w:hAnsi="宋体"/>
          <w:color w:val="auto"/>
          <w:highlight w:val="none"/>
        </w:rPr>
        <w:t>6.4供应商应仔细阅读</w:t>
      </w:r>
      <w:r>
        <w:rPr>
          <w:rFonts w:hint="eastAsia" w:hAnsi="宋体"/>
          <w:bCs/>
          <w:color w:val="auto"/>
          <w:highlight w:val="none"/>
        </w:rPr>
        <w:t>磋商</w:t>
      </w:r>
      <w:r>
        <w:rPr>
          <w:rFonts w:hint="eastAsia" w:hAnsi="宋体"/>
          <w:color w:val="auto"/>
          <w:highlight w:val="none"/>
        </w:rPr>
        <w:t>文件的全部内容，按照</w:t>
      </w:r>
      <w:r>
        <w:rPr>
          <w:rFonts w:hint="eastAsia" w:hAnsi="宋体"/>
          <w:bCs/>
          <w:color w:val="auto"/>
          <w:highlight w:val="none"/>
        </w:rPr>
        <w:t>磋商</w:t>
      </w:r>
      <w:r>
        <w:rPr>
          <w:rFonts w:hint="eastAsia" w:hAnsi="宋体"/>
          <w:color w:val="auto"/>
          <w:highlight w:val="none"/>
        </w:rPr>
        <w:t>文件要求编制响应文件。任何对</w:t>
      </w:r>
      <w:r>
        <w:rPr>
          <w:rFonts w:hint="eastAsia" w:hAnsi="宋体"/>
          <w:bCs/>
          <w:color w:val="auto"/>
          <w:highlight w:val="none"/>
        </w:rPr>
        <w:t>磋商</w:t>
      </w:r>
      <w:r>
        <w:rPr>
          <w:rFonts w:hint="eastAsia" w:hAnsi="宋体"/>
          <w:color w:val="auto"/>
          <w:highlight w:val="none"/>
        </w:rPr>
        <w:t>文件的忽略或误解不能作为响应文件存在缺陷或瑕疵的理由，其风险由供应商承担。</w:t>
      </w:r>
    </w:p>
    <w:p>
      <w:pPr>
        <w:pStyle w:val="5"/>
        <w:keepNext w:val="0"/>
        <w:keepLines w:val="0"/>
        <w:adjustRightInd w:val="0"/>
        <w:snapToGrid w:val="0"/>
        <w:spacing w:before="50" w:after="0"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7.磋商文件的澄清</w:t>
      </w:r>
      <w:r>
        <w:rPr>
          <w:rFonts w:hint="eastAsia" w:ascii="宋体" w:hAnsi="宋体" w:eastAsia="宋体"/>
          <w:color w:val="auto"/>
          <w:kern w:val="0"/>
          <w:sz w:val="24"/>
          <w:szCs w:val="24"/>
          <w:highlight w:val="none"/>
          <w:lang w:val="zh-CN"/>
        </w:rPr>
        <w:t>或者</w:t>
      </w:r>
      <w:r>
        <w:rPr>
          <w:rFonts w:hint="eastAsia" w:ascii="宋体" w:hAnsi="宋体" w:eastAsia="宋体"/>
          <w:color w:val="auto"/>
          <w:sz w:val="24"/>
          <w:szCs w:val="24"/>
          <w:highlight w:val="none"/>
        </w:rPr>
        <w:t>修改</w:t>
      </w:r>
    </w:p>
    <w:p>
      <w:pPr>
        <w:adjustRightInd w:val="0"/>
        <w:snapToGrid w:val="0"/>
        <w:spacing w:before="120" w:beforeLines="50" w:line="360" w:lineRule="auto"/>
        <w:ind w:right="-105" w:rightChars="-50" w:firstLine="420" w:firstLineChars="200"/>
        <w:rPr>
          <w:rFonts w:ascii="宋体" w:hAnsi="宋体" w:cs="宋体"/>
          <w:color w:val="auto"/>
          <w:kern w:val="0"/>
          <w:szCs w:val="21"/>
          <w:highlight w:val="none"/>
        </w:rPr>
      </w:pPr>
      <w:r>
        <w:rPr>
          <w:rFonts w:hint="eastAsia" w:ascii="宋体" w:hAnsi="宋体"/>
          <w:color w:val="auto"/>
          <w:szCs w:val="21"/>
          <w:highlight w:val="none"/>
        </w:rPr>
        <w:t>7.1在</w:t>
      </w:r>
      <w:r>
        <w:rPr>
          <w:rFonts w:hint="eastAsia" w:ascii="宋体" w:hAnsi="宋体" w:cs="宋体"/>
          <w:color w:val="auto"/>
          <w:kern w:val="0"/>
          <w:szCs w:val="21"/>
          <w:highlight w:val="none"/>
        </w:rPr>
        <w:t>提交首次响应文件截止之日前，采购人、采购代理机构或者磋商小组可以对已发出的磋商文件进行必要的澄清或者修改。</w:t>
      </w:r>
    </w:p>
    <w:p>
      <w:pPr>
        <w:adjustRightInd w:val="0"/>
        <w:snapToGrid w:val="0"/>
        <w:spacing w:before="120" w:beforeLines="50" w:line="360" w:lineRule="auto"/>
        <w:ind w:right="-105" w:rightChars="-50" w:firstLine="420" w:firstLineChars="200"/>
        <w:rPr>
          <w:rFonts w:ascii="宋体" w:hAnsi="宋体" w:cs="宋体"/>
          <w:color w:val="auto"/>
          <w:kern w:val="0"/>
          <w:szCs w:val="21"/>
          <w:highlight w:val="none"/>
        </w:rPr>
      </w:pPr>
      <w:r>
        <w:rPr>
          <w:rFonts w:hint="eastAsia" w:ascii="宋体" w:hAnsi="宋体"/>
          <w:color w:val="auto"/>
          <w:szCs w:val="21"/>
          <w:highlight w:val="none"/>
        </w:rPr>
        <w:t>7.2</w:t>
      </w:r>
      <w:r>
        <w:rPr>
          <w:rFonts w:hint="eastAsia" w:ascii="宋体" w:hAnsi="宋体" w:cs="宋体"/>
          <w:color w:val="auto"/>
          <w:kern w:val="0"/>
          <w:szCs w:val="21"/>
          <w:highlight w:val="none"/>
        </w:rPr>
        <w:t>澄清或者修改的内容可能影响响应文件编制的，采购人、采购代理机构或者磋商小组应当在提交首次响应文件截止之日3个工作日前，以书面形式通知所有接收磋商文件的供应商，不足3个工作日的，顺延供应商提交首次响应文件截止时间。</w:t>
      </w:r>
      <w:bookmarkStart w:id="22" w:name="_Toc106890506"/>
    </w:p>
    <w:p>
      <w:pPr>
        <w:pStyle w:val="4"/>
        <w:keepNext w:val="0"/>
        <w:keepLines w:val="0"/>
        <w:adjustRightInd w:val="0"/>
        <w:snapToGrid w:val="0"/>
        <w:spacing w:before="120" w:beforeLines="50" w:after="0" w:line="360" w:lineRule="auto"/>
        <w:jc w:val="center"/>
        <w:rPr>
          <w:rFonts w:ascii="宋体" w:hAnsi="宋体"/>
          <w:color w:val="auto"/>
          <w:sz w:val="28"/>
          <w:szCs w:val="28"/>
          <w:highlight w:val="none"/>
        </w:rPr>
      </w:pPr>
    </w:p>
    <w:p>
      <w:pPr>
        <w:pStyle w:val="4"/>
        <w:keepNext w:val="0"/>
        <w:keepLines w:val="0"/>
        <w:adjustRightInd w:val="0"/>
        <w:snapToGrid w:val="0"/>
        <w:spacing w:before="120" w:beforeLines="50" w:after="0" w:line="360" w:lineRule="auto"/>
        <w:jc w:val="center"/>
        <w:rPr>
          <w:rFonts w:ascii="宋体" w:hAnsi="宋体"/>
          <w:color w:val="auto"/>
          <w:sz w:val="28"/>
          <w:szCs w:val="28"/>
          <w:highlight w:val="none"/>
        </w:rPr>
      </w:pPr>
      <w:r>
        <w:rPr>
          <w:rFonts w:hint="eastAsia" w:ascii="宋体" w:hAnsi="宋体"/>
          <w:color w:val="auto"/>
          <w:sz w:val="28"/>
          <w:szCs w:val="28"/>
          <w:highlight w:val="none"/>
        </w:rPr>
        <w:t>三、响应文件</w:t>
      </w:r>
      <w:bookmarkEnd w:id="22"/>
    </w:p>
    <w:p>
      <w:pPr>
        <w:pStyle w:val="5"/>
        <w:adjustRightInd w:val="0"/>
        <w:snapToGrid w:val="0"/>
        <w:spacing w:before="50" w:after="0"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8.一般要求</w:t>
      </w:r>
    </w:p>
    <w:p>
      <w:pPr>
        <w:adjustRightInd w:val="0"/>
        <w:snapToGrid w:val="0"/>
        <w:spacing w:before="120" w:beforeLines="50"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8.1供应商应仔细阅读磋商文件的所有内容，按磋商文件的要求编制响应文件，并保证所提供的全部资料的真实性，以使其响应文件对磋商文件做出实质性的响应。</w:t>
      </w:r>
    </w:p>
    <w:p>
      <w:pPr>
        <w:adjustRightInd w:val="0"/>
        <w:snapToGrid w:val="0"/>
        <w:spacing w:before="120" w:beforeLines="50"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8.2</w:t>
      </w:r>
      <w:r>
        <w:rPr>
          <w:rFonts w:hint="eastAsia" w:ascii="宋体" w:hAnsi="宋体"/>
          <w:color w:val="auto"/>
          <w:szCs w:val="21"/>
          <w:highlight w:val="none"/>
        </w:rPr>
        <w:t>供应商提交的响应文件及供应商与采购人或采购代理机构、磋商小组就有关磋商的所有来往函电均使用中文。供应商可以提交其它语言的资料，但应附中文注释，在有差异时以中文为准。</w:t>
      </w:r>
    </w:p>
    <w:p>
      <w:pPr>
        <w:pStyle w:val="18"/>
        <w:adjustRightInd w:val="0"/>
        <w:snapToGrid w:val="0"/>
        <w:spacing w:before="120" w:beforeLines="50" w:line="360" w:lineRule="auto"/>
        <w:ind w:firstLine="420" w:firstLineChars="200"/>
        <w:rPr>
          <w:rFonts w:hAnsi="宋体"/>
          <w:color w:val="auto"/>
          <w:highlight w:val="none"/>
        </w:rPr>
      </w:pPr>
      <w:r>
        <w:rPr>
          <w:rFonts w:hint="eastAsia" w:hAnsi="宋体"/>
          <w:bCs/>
          <w:color w:val="auto"/>
          <w:highlight w:val="none"/>
        </w:rPr>
        <w:t>8.3</w:t>
      </w:r>
      <w:r>
        <w:rPr>
          <w:rFonts w:hint="eastAsia" w:hAnsi="宋体"/>
          <w:color w:val="auto"/>
          <w:highlight w:val="none"/>
        </w:rPr>
        <w:t>计量单位应使用我国法定计量单位，未列明时应默认为我国法定计量单位。</w:t>
      </w:r>
    </w:p>
    <w:p>
      <w:pPr>
        <w:pStyle w:val="18"/>
        <w:adjustRightInd w:val="0"/>
        <w:snapToGrid w:val="0"/>
        <w:spacing w:before="120" w:beforeLines="50" w:line="360" w:lineRule="auto"/>
        <w:ind w:firstLine="420" w:firstLineChars="200"/>
        <w:rPr>
          <w:rFonts w:hAnsi="宋体"/>
          <w:color w:val="auto"/>
          <w:highlight w:val="none"/>
        </w:rPr>
      </w:pPr>
      <w:r>
        <w:rPr>
          <w:rFonts w:hint="eastAsia" w:hAnsi="宋体"/>
          <w:color w:val="auto"/>
          <w:highlight w:val="none"/>
        </w:rPr>
        <w:t>8.4响应文件应采用书面形式，电报、传真、电子邮件形式的响应文件概不接受。</w:t>
      </w:r>
    </w:p>
    <w:p>
      <w:pPr>
        <w:adjustRightInd w:val="0"/>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8.5供应商应按磋商文件中提供的响应文件格式填写。</w:t>
      </w:r>
    </w:p>
    <w:p>
      <w:pPr>
        <w:pStyle w:val="5"/>
        <w:keepNext w:val="0"/>
        <w:keepLines w:val="0"/>
        <w:adjustRightInd w:val="0"/>
        <w:snapToGrid w:val="0"/>
        <w:spacing w:before="50" w:after="0"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9.响应文件的组成</w:t>
      </w:r>
    </w:p>
    <w:p>
      <w:pPr>
        <w:pStyle w:val="407"/>
        <w:spacing w:before="120" w:beforeLines="50"/>
        <w:ind w:firstLine="480"/>
        <w:rPr>
          <w:rFonts w:ascii="宋体" w:hAnsi="宋体"/>
          <w:color w:val="auto"/>
          <w:szCs w:val="21"/>
          <w:highlight w:val="none"/>
        </w:rPr>
      </w:pPr>
      <w:r>
        <w:rPr>
          <w:rFonts w:hint="eastAsia" w:ascii="宋体" w:hAnsi="宋体"/>
          <w:color w:val="auto"/>
          <w:highlight w:val="none"/>
        </w:rPr>
        <w:t>9.1响应文件包括下列内容：</w:t>
      </w:r>
    </w:p>
    <w:p>
      <w:pPr>
        <w:tabs>
          <w:tab w:val="left" w:pos="753"/>
        </w:tabs>
        <w:adjustRightInd w:val="0"/>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一、磋商响应声明</w:t>
      </w:r>
    </w:p>
    <w:p>
      <w:pPr>
        <w:tabs>
          <w:tab w:val="left" w:pos="753"/>
        </w:tabs>
        <w:adjustRightInd w:val="0"/>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二、法定代表人（单位负责人）身份证明</w:t>
      </w:r>
    </w:p>
    <w:p>
      <w:pPr>
        <w:tabs>
          <w:tab w:val="left" w:pos="753"/>
        </w:tabs>
        <w:adjustRightInd w:val="0"/>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三、授权委托书</w:t>
      </w:r>
    </w:p>
    <w:p>
      <w:pPr>
        <w:tabs>
          <w:tab w:val="left" w:pos="753"/>
        </w:tabs>
        <w:adjustRightInd w:val="0"/>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四、报价表及报价文件</w:t>
      </w:r>
    </w:p>
    <w:p>
      <w:pPr>
        <w:tabs>
          <w:tab w:val="left" w:pos="753"/>
        </w:tabs>
        <w:adjustRightInd w:val="0"/>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五、供应商的资格证明材料</w:t>
      </w:r>
    </w:p>
    <w:p>
      <w:pPr>
        <w:tabs>
          <w:tab w:val="left" w:pos="753"/>
        </w:tabs>
        <w:adjustRightInd w:val="0"/>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六、采购需求的响应</w:t>
      </w:r>
    </w:p>
    <w:p>
      <w:pPr>
        <w:tabs>
          <w:tab w:val="left" w:pos="753"/>
        </w:tabs>
        <w:adjustRightInd w:val="0"/>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七、采购需求偏离表</w:t>
      </w:r>
    </w:p>
    <w:p>
      <w:pPr>
        <w:tabs>
          <w:tab w:val="left" w:pos="753"/>
        </w:tabs>
        <w:adjustRightInd w:val="0"/>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八、关于资格的说明</w:t>
      </w:r>
    </w:p>
    <w:p>
      <w:pPr>
        <w:tabs>
          <w:tab w:val="left" w:pos="753"/>
        </w:tabs>
        <w:adjustRightInd w:val="0"/>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九、响应标的符合磋商文件规定的证明文件</w:t>
      </w:r>
    </w:p>
    <w:p>
      <w:pPr>
        <w:tabs>
          <w:tab w:val="left" w:pos="753"/>
        </w:tabs>
        <w:adjustRightInd w:val="0"/>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十、供应商认为需提供的其他资料</w:t>
      </w:r>
    </w:p>
    <w:p>
      <w:pPr>
        <w:adjustRightInd w:val="0"/>
        <w:snapToGrid w:val="0"/>
        <w:spacing w:before="120" w:beforeLines="50" w:line="360" w:lineRule="auto"/>
        <w:ind w:firstLine="420" w:firstLineChars="200"/>
        <w:rPr>
          <w:rFonts w:ascii="宋体" w:hAnsi="宋体"/>
          <w:color w:val="auto"/>
          <w:highlight w:val="none"/>
        </w:rPr>
      </w:pPr>
      <w:r>
        <w:rPr>
          <w:rFonts w:hint="eastAsia" w:ascii="宋体" w:hAnsi="宋体"/>
          <w:color w:val="auto"/>
          <w:highlight w:val="none"/>
        </w:rPr>
        <w:t>9.2在磋商过程中，</w:t>
      </w:r>
      <w:r>
        <w:rPr>
          <w:rFonts w:hint="eastAsia" w:ascii="宋体" w:hAnsi="宋体"/>
          <w:color w:val="auto"/>
          <w:szCs w:val="21"/>
          <w:highlight w:val="none"/>
        </w:rPr>
        <w:t>供应商</w:t>
      </w:r>
      <w:r>
        <w:rPr>
          <w:rFonts w:hint="eastAsia" w:ascii="宋体" w:hAnsi="宋体"/>
          <w:color w:val="auto"/>
          <w:highlight w:val="none"/>
        </w:rPr>
        <w:t>根据</w:t>
      </w:r>
      <w:r>
        <w:rPr>
          <w:rFonts w:hint="eastAsia" w:ascii="宋体" w:hAnsi="宋体" w:cs="宋体"/>
          <w:color w:val="auto"/>
          <w:kern w:val="0"/>
          <w:szCs w:val="21"/>
          <w:highlight w:val="none"/>
        </w:rPr>
        <w:t>磋商小组</w:t>
      </w:r>
      <w:r>
        <w:rPr>
          <w:rFonts w:hint="eastAsia" w:ascii="宋体" w:hAnsi="宋体"/>
          <w:bCs/>
          <w:color w:val="auto"/>
          <w:szCs w:val="21"/>
          <w:highlight w:val="none"/>
        </w:rPr>
        <w:t>书面形式要求</w:t>
      </w:r>
      <w:r>
        <w:rPr>
          <w:rFonts w:hint="eastAsia" w:ascii="宋体" w:hAnsi="宋体" w:cs="宋体"/>
          <w:color w:val="auto"/>
          <w:kern w:val="0"/>
          <w:szCs w:val="21"/>
          <w:highlight w:val="none"/>
        </w:rPr>
        <w:t>提交的</w:t>
      </w:r>
      <w:r>
        <w:rPr>
          <w:rFonts w:hint="eastAsia" w:ascii="宋体" w:hAnsi="宋体"/>
          <w:color w:val="auto"/>
          <w:highlight w:val="none"/>
        </w:rPr>
        <w:t>最后报价(或者</w:t>
      </w:r>
      <w:r>
        <w:rPr>
          <w:rFonts w:hint="eastAsia" w:ascii="宋体" w:hAnsi="宋体"/>
          <w:bCs/>
          <w:color w:val="auto"/>
          <w:szCs w:val="21"/>
          <w:highlight w:val="none"/>
        </w:rPr>
        <w:t>重</w:t>
      </w:r>
      <w:r>
        <w:rPr>
          <w:rFonts w:hint="eastAsia" w:ascii="宋体" w:hAnsi="宋体" w:cs="宋体"/>
          <w:color w:val="auto"/>
          <w:kern w:val="0"/>
          <w:szCs w:val="21"/>
          <w:highlight w:val="none"/>
        </w:rPr>
        <w:t>新提交的响应文件和</w:t>
      </w:r>
      <w:r>
        <w:rPr>
          <w:rFonts w:hint="eastAsia" w:ascii="宋体" w:hAnsi="宋体"/>
          <w:color w:val="auto"/>
          <w:highlight w:val="none"/>
        </w:rPr>
        <w:t>最后报价)是</w:t>
      </w:r>
      <w:r>
        <w:rPr>
          <w:rFonts w:hint="eastAsia" w:ascii="宋体" w:hAnsi="宋体"/>
          <w:color w:val="auto"/>
          <w:szCs w:val="21"/>
          <w:highlight w:val="none"/>
        </w:rPr>
        <w:t>响应文件</w:t>
      </w:r>
      <w:r>
        <w:rPr>
          <w:rFonts w:hint="eastAsia" w:ascii="宋体" w:hAnsi="宋体"/>
          <w:color w:val="auto"/>
          <w:highlight w:val="none"/>
        </w:rPr>
        <w:t>的有效组成部分。</w:t>
      </w:r>
    </w:p>
    <w:p>
      <w:pPr>
        <w:adjustRightInd w:val="0"/>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highlight w:val="none"/>
        </w:rPr>
        <w:t>9.3</w:t>
      </w:r>
      <w:r>
        <w:rPr>
          <w:rFonts w:hint="eastAsia" w:ascii="宋体" w:hAnsi="宋体"/>
          <w:color w:val="auto"/>
          <w:szCs w:val="21"/>
          <w:highlight w:val="none"/>
        </w:rPr>
        <w:t>供应商无论成交与否，其响应文件不予退还。</w:t>
      </w:r>
    </w:p>
    <w:p>
      <w:pPr>
        <w:pStyle w:val="5"/>
        <w:keepNext w:val="0"/>
        <w:keepLines w:val="0"/>
        <w:adjustRightInd w:val="0"/>
        <w:snapToGrid w:val="0"/>
        <w:spacing w:before="50" w:after="0"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10.报价要求</w:t>
      </w:r>
    </w:p>
    <w:p>
      <w:pPr>
        <w:adjustRightInd w:val="0"/>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10.1供应商应当根据磋商文件第三章第一节“采购清单一览表”逐一报价；磋商文件第三章提供第三节“工程量清单”的，供应商应按其要求填写相应表格。</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10.2在报价表、分项报价表填写报价时应注意下列要求：</w:t>
      </w:r>
    </w:p>
    <w:p>
      <w:pPr>
        <w:pStyle w:val="18"/>
        <w:adjustRightInd w:val="0"/>
        <w:snapToGrid w:val="0"/>
        <w:spacing w:before="120" w:beforeLines="50" w:line="360" w:lineRule="auto"/>
        <w:ind w:firstLine="420" w:firstLineChars="200"/>
        <w:rPr>
          <w:rFonts w:hAnsi="宋体"/>
          <w:color w:val="auto"/>
          <w:highlight w:val="none"/>
        </w:rPr>
      </w:pPr>
      <w:r>
        <w:rPr>
          <w:rFonts w:hint="eastAsia" w:hAnsi="宋体"/>
          <w:color w:val="auto"/>
          <w:highlight w:val="none"/>
        </w:rPr>
        <w:t>（1）采购需求要求的安装、调试、培训、售后服务及其它附加服务的费用。</w:t>
      </w:r>
    </w:p>
    <w:p>
      <w:pPr>
        <w:pStyle w:val="18"/>
        <w:adjustRightInd w:val="0"/>
        <w:snapToGrid w:val="0"/>
        <w:spacing w:before="120" w:beforeLines="50" w:line="360" w:lineRule="auto"/>
        <w:ind w:firstLine="420" w:firstLineChars="200"/>
        <w:rPr>
          <w:rFonts w:hAnsi="宋体"/>
          <w:color w:val="auto"/>
          <w:highlight w:val="none"/>
        </w:rPr>
      </w:pPr>
      <w:r>
        <w:rPr>
          <w:rFonts w:hint="eastAsia" w:hAnsi="宋体"/>
          <w:color w:val="auto"/>
          <w:highlight w:val="none"/>
        </w:rPr>
        <w:t>（2）所有根据合同或其它原因应由供应商交纳和支付的税款和费用。</w:t>
      </w:r>
    </w:p>
    <w:p>
      <w:pPr>
        <w:adjustRightInd w:val="0"/>
        <w:snapToGrid w:val="0"/>
        <w:spacing w:before="120" w:beforeLines="50" w:line="360" w:lineRule="auto"/>
        <w:ind w:firstLine="420" w:firstLineChars="200"/>
        <w:rPr>
          <w:rFonts w:ascii="宋体" w:hAnsi="宋体"/>
          <w:color w:val="auto"/>
          <w:highlight w:val="none"/>
        </w:rPr>
      </w:pPr>
      <w:r>
        <w:rPr>
          <w:rFonts w:hint="eastAsia" w:ascii="宋体" w:hAnsi="宋体"/>
          <w:color w:val="auto"/>
          <w:highlight w:val="none"/>
        </w:rPr>
        <w:t>（3）磋商文件指定交货地点的运输、保险、装卸费。</w:t>
      </w:r>
    </w:p>
    <w:p>
      <w:pPr>
        <w:adjustRightInd w:val="0"/>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highlight w:val="none"/>
        </w:rPr>
        <w:t>（4）实行工程量清单报价的，供应商提交最后报价应与已标价工程量清单总报价一致。</w:t>
      </w:r>
    </w:p>
    <w:p>
      <w:pPr>
        <w:pStyle w:val="155"/>
        <w:widowControl w:val="0"/>
        <w:adjustRightInd w:val="0"/>
        <w:snapToGrid w:val="0"/>
        <w:spacing w:before="120" w:beforeLines="50" w:line="360" w:lineRule="auto"/>
        <w:ind w:firstLine="420" w:firstLineChars="200"/>
        <w:rPr>
          <w:rFonts w:ascii="宋体" w:hAnsi="宋体"/>
          <w:color w:val="auto"/>
          <w:highlight w:val="none"/>
        </w:rPr>
      </w:pPr>
      <w:r>
        <w:rPr>
          <w:rFonts w:hint="eastAsia" w:ascii="宋体" w:hAnsi="宋体"/>
          <w:color w:val="auto"/>
          <w:highlight w:val="none"/>
        </w:rPr>
        <w:t>10.3</w:t>
      </w:r>
      <w:r>
        <w:rPr>
          <w:rFonts w:hint="eastAsia" w:ascii="宋体" w:hAnsi="宋体" w:cs="宋体"/>
          <w:color w:val="auto"/>
          <w:highlight w:val="none"/>
          <w:lang w:val="zh-CN"/>
        </w:rPr>
        <w:t>供应商</w:t>
      </w:r>
      <w:r>
        <w:rPr>
          <w:rFonts w:hint="eastAsia" w:ascii="宋体" w:hAnsi="宋体"/>
          <w:color w:val="auto"/>
          <w:highlight w:val="none"/>
        </w:rPr>
        <w:t>的最后报价不得超过采购项目预算，采购项目预算见</w:t>
      </w:r>
      <w:r>
        <w:rPr>
          <w:rFonts w:hint="eastAsia" w:ascii="宋体" w:hAnsi="宋体"/>
          <w:b/>
          <w:color w:val="auto"/>
          <w:highlight w:val="none"/>
        </w:rPr>
        <w:t>【磋商须知前附表】</w:t>
      </w:r>
      <w:r>
        <w:rPr>
          <w:rFonts w:hint="eastAsia" w:ascii="宋体" w:hAnsi="宋体"/>
          <w:color w:val="auto"/>
          <w:highlight w:val="none"/>
        </w:rPr>
        <w:t>。</w:t>
      </w:r>
    </w:p>
    <w:p>
      <w:pPr>
        <w:pStyle w:val="18"/>
        <w:adjustRightInd w:val="0"/>
        <w:snapToGrid w:val="0"/>
        <w:spacing w:before="120" w:beforeLines="50" w:line="360" w:lineRule="auto"/>
        <w:ind w:firstLine="420" w:firstLineChars="200"/>
        <w:rPr>
          <w:rFonts w:hAnsi="宋体"/>
          <w:color w:val="auto"/>
          <w:highlight w:val="none"/>
        </w:rPr>
      </w:pPr>
      <w:r>
        <w:rPr>
          <w:rFonts w:hint="eastAsia" w:hAnsi="宋体"/>
          <w:color w:val="auto"/>
          <w:highlight w:val="none"/>
        </w:rPr>
        <w:t>10.4供应商提交的最后报价在合同执行过程中是固定不变的，不得以任何理由予以变更。以可变动价格提交的报价将被认为是非实质响应而被拒绝。</w:t>
      </w:r>
    </w:p>
    <w:p>
      <w:pPr>
        <w:adjustRightInd w:val="0"/>
        <w:snapToGrid w:val="0"/>
        <w:spacing w:before="120" w:beforeLines="50" w:line="360" w:lineRule="auto"/>
        <w:ind w:firstLine="420" w:firstLineChars="200"/>
        <w:jc w:val="left"/>
        <w:rPr>
          <w:rFonts w:ascii="宋体" w:hAnsi="宋体"/>
          <w:color w:val="auto"/>
          <w:highlight w:val="none"/>
        </w:rPr>
      </w:pPr>
      <w:r>
        <w:rPr>
          <w:rFonts w:hint="eastAsia" w:ascii="宋体" w:hAnsi="宋体"/>
          <w:color w:val="auto"/>
          <w:highlight w:val="none"/>
        </w:rPr>
        <w:t>10.5采购人不接受供应商给予的赠品、回扣或者与采购无关的其他商品、服务。</w:t>
      </w:r>
    </w:p>
    <w:p>
      <w:pPr>
        <w:pStyle w:val="18"/>
        <w:adjustRightInd w:val="0"/>
        <w:snapToGrid w:val="0"/>
        <w:spacing w:before="120" w:beforeLines="50" w:line="360" w:lineRule="auto"/>
        <w:ind w:firstLine="420" w:firstLineChars="200"/>
        <w:rPr>
          <w:rFonts w:hAnsi="宋体"/>
          <w:color w:val="auto"/>
          <w:highlight w:val="none"/>
        </w:rPr>
      </w:pPr>
      <w:r>
        <w:rPr>
          <w:rFonts w:hint="eastAsia" w:hAnsi="宋体"/>
          <w:color w:val="auto"/>
          <w:highlight w:val="none"/>
        </w:rPr>
        <w:t>10.6报价的其他要求见</w:t>
      </w:r>
      <w:r>
        <w:rPr>
          <w:rFonts w:hint="eastAsia" w:hAnsi="宋体"/>
          <w:b/>
          <w:color w:val="auto"/>
          <w:highlight w:val="none"/>
        </w:rPr>
        <w:t>【磋商须知前附表】</w:t>
      </w:r>
      <w:r>
        <w:rPr>
          <w:rFonts w:hint="eastAsia" w:hAnsi="宋体"/>
          <w:color w:val="auto"/>
          <w:highlight w:val="none"/>
        </w:rPr>
        <w:t>。</w:t>
      </w:r>
    </w:p>
    <w:p>
      <w:pPr>
        <w:pStyle w:val="5"/>
        <w:keepNext w:val="0"/>
        <w:keepLines w:val="0"/>
        <w:adjustRightInd w:val="0"/>
        <w:snapToGrid w:val="0"/>
        <w:spacing w:before="50" w:after="0" w:line="360" w:lineRule="auto"/>
        <w:rPr>
          <w:rFonts w:ascii="宋体" w:hAnsi="宋体" w:eastAsia="宋体"/>
          <w:color w:val="auto"/>
          <w:sz w:val="24"/>
          <w:szCs w:val="24"/>
          <w:highlight w:val="none"/>
        </w:rPr>
      </w:pPr>
      <w:commentRangeStart w:id="3"/>
      <w:r>
        <w:rPr>
          <w:rFonts w:hint="eastAsia" w:ascii="宋体" w:hAnsi="宋体" w:eastAsia="宋体"/>
          <w:color w:val="auto"/>
          <w:sz w:val="24"/>
          <w:szCs w:val="24"/>
          <w:highlight w:val="none"/>
        </w:rPr>
        <w:t>11.保证金</w:t>
      </w:r>
      <w:commentRangeEnd w:id="3"/>
      <w:r>
        <w:rPr>
          <w:color w:val="auto"/>
          <w:highlight w:val="none"/>
        </w:rPr>
        <w:commentReference w:id="3"/>
      </w:r>
    </w:p>
    <w:p>
      <w:pPr>
        <w:pStyle w:val="18"/>
        <w:adjustRightInd w:val="0"/>
        <w:snapToGrid w:val="0"/>
        <w:spacing w:before="120" w:beforeLines="50" w:line="360" w:lineRule="auto"/>
        <w:ind w:firstLine="420" w:firstLineChars="200"/>
        <w:rPr>
          <w:rFonts w:hAnsi="宋体"/>
          <w:bCs/>
          <w:color w:val="auto"/>
          <w:highlight w:val="none"/>
        </w:rPr>
      </w:pPr>
      <w:r>
        <w:rPr>
          <w:rFonts w:hint="eastAsia" w:hAnsi="宋体"/>
          <w:color w:val="auto"/>
          <w:highlight w:val="none"/>
        </w:rPr>
        <w:t>11.1</w:t>
      </w:r>
      <w:r>
        <w:rPr>
          <w:rFonts w:hint="eastAsia" w:hAnsi="宋体"/>
          <w:bCs/>
          <w:color w:val="auto"/>
          <w:highlight w:val="none"/>
        </w:rPr>
        <w:t>磋商文件要求供应商提交保证金的，供应商应按</w:t>
      </w:r>
      <w:r>
        <w:rPr>
          <w:rFonts w:hint="eastAsia" w:hAnsi="宋体"/>
          <w:b/>
          <w:bCs/>
          <w:color w:val="auto"/>
          <w:highlight w:val="none"/>
        </w:rPr>
        <w:t>【磋商须知前附表】</w:t>
      </w:r>
      <w:r>
        <w:rPr>
          <w:rFonts w:hint="eastAsia" w:hAnsi="宋体"/>
          <w:bCs/>
          <w:color w:val="auto"/>
          <w:highlight w:val="none"/>
        </w:rPr>
        <w:t>规定，在提交响应文件的截止时间前提交保证金。保证金有效期应当与响应文件有效期一致。</w:t>
      </w:r>
    </w:p>
    <w:p>
      <w:pPr>
        <w:adjustRightInd w:val="0"/>
        <w:snapToGrid w:val="0"/>
        <w:spacing w:before="120" w:beforeLines="50" w:line="360" w:lineRule="auto"/>
        <w:ind w:firstLine="420" w:firstLineChars="200"/>
        <w:rPr>
          <w:rFonts w:ascii="宋体" w:hAnsi="宋体"/>
          <w:b/>
          <w:color w:val="auto"/>
          <w:szCs w:val="21"/>
          <w:highlight w:val="none"/>
        </w:rPr>
      </w:pPr>
      <w:r>
        <w:rPr>
          <w:rFonts w:hint="eastAsia" w:ascii="宋体" w:hAnsi="宋体"/>
          <w:color w:val="auto"/>
          <w:szCs w:val="21"/>
          <w:highlight w:val="none"/>
        </w:rPr>
        <w:t>11.2</w:t>
      </w:r>
      <w:r>
        <w:rPr>
          <w:rFonts w:hint="eastAsia" w:ascii="宋体" w:hAnsi="宋体" w:cs="宋体"/>
          <w:color w:val="auto"/>
          <w:kern w:val="0"/>
          <w:szCs w:val="21"/>
          <w:highlight w:val="none"/>
          <w:lang w:val="zh-CN"/>
        </w:rPr>
        <w:t>供应商为联合体的，可以由联合体中的一方或者共同交纳保证金，其交纳的保证金，对联合体各方均具有约束力。</w:t>
      </w:r>
    </w:p>
    <w:p>
      <w:pPr>
        <w:pStyle w:val="18"/>
        <w:tabs>
          <w:tab w:val="left" w:pos="6300"/>
        </w:tabs>
        <w:adjustRightInd w:val="0"/>
        <w:snapToGrid w:val="0"/>
        <w:spacing w:before="120" w:beforeLines="50" w:line="360" w:lineRule="auto"/>
        <w:ind w:firstLine="420" w:firstLineChars="200"/>
        <w:rPr>
          <w:rFonts w:hAnsi="宋体"/>
          <w:color w:val="auto"/>
          <w:highlight w:val="none"/>
        </w:rPr>
      </w:pPr>
      <w:r>
        <w:rPr>
          <w:rFonts w:hint="eastAsia" w:hAnsi="宋体"/>
          <w:color w:val="auto"/>
          <w:highlight w:val="none"/>
        </w:rPr>
        <w:t>11.3采购人、采购代理机构在成交通知书发出后5个工作日内退还未成交供应商的保证金；在采购合同签定后5个工作日内退还成交供应商的保证金，但因供应商自身原因导致无法及时退还的除外。</w:t>
      </w:r>
    </w:p>
    <w:p>
      <w:pPr>
        <w:adjustRightInd w:val="0"/>
        <w:snapToGrid w:val="0"/>
        <w:spacing w:before="120"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11.4保证金的退还按以下规定办理：</w:t>
      </w:r>
    </w:p>
    <w:p>
      <w:pPr>
        <w:adjustRightInd w:val="0"/>
        <w:snapToGrid w:val="0"/>
        <w:spacing w:before="120"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（1）成交供应商的保证金，在采购合同签订后5个工作日内退还。</w:t>
      </w:r>
    </w:p>
    <w:p>
      <w:pPr>
        <w:adjustRightInd w:val="0"/>
        <w:snapToGrid w:val="0"/>
        <w:spacing w:before="120"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（2）未成交供应商的保证金，在成交通知书发出后5个工作日内退还。</w:t>
      </w:r>
    </w:p>
    <w:p>
      <w:pPr>
        <w:adjustRightInd w:val="0"/>
        <w:snapToGrid w:val="0"/>
        <w:spacing w:before="120"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（3）终止竞争性磋商采购活动的，在发布项目终止公告后5个工作日内退还。</w:t>
      </w:r>
    </w:p>
    <w:p>
      <w:pPr>
        <w:pStyle w:val="18"/>
        <w:adjustRightInd w:val="0"/>
        <w:snapToGrid w:val="0"/>
        <w:spacing w:before="120" w:beforeLines="50" w:line="360" w:lineRule="auto"/>
        <w:ind w:firstLine="420" w:firstLineChars="200"/>
        <w:rPr>
          <w:rFonts w:hAnsi="宋体"/>
          <w:color w:val="auto"/>
          <w:kern w:val="0"/>
          <w:highlight w:val="none"/>
        </w:rPr>
      </w:pPr>
      <w:r>
        <w:rPr>
          <w:rFonts w:hint="eastAsia" w:hAnsi="宋体"/>
          <w:color w:val="auto"/>
          <w:highlight w:val="none"/>
        </w:rPr>
        <w:t>11.5</w:t>
      </w:r>
      <w:r>
        <w:rPr>
          <w:rFonts w:hint="eastAsia" w:hAnsi="宋体"/>
          <w:color w:val="auto"/>
          <w:kern w:val="0"/>
          <w:highlight w:val="none"/>
        </w:rPr>
        <w:t>有下列情形之一的，保证金不予退还，并上缴本级财政国库：</w:t>
      </w:r>
    </w:p>
    <w:p>
      <w:pPr>
        <w:pStyle w:val="18"/>
        <w:adjustRightInd w:val="0"/>
        <w:snapToGrid w:val="0"/>
        <w:spacing w:before="120" w:beforeLines="50" w:line="360" w:lineRule="auto"/>
        <w:ind w:firstLine="420" w:firstLineChars="200"/>
        <w:rPr>
          <w:rFonts w:hAnsi="宋体"/>
          <w:color w:val="auto"/>
          <w:highlight w:val="none"/>
        </w:rPr>
      </w:pPr>
      <w:r>
        <w:rPr>
          <w:rFonts w:hint="eastAsia" w:hAnsi="宋体"/>
          <w:color w:val="auto"/>
          <w:highlight w:val="none"/>
        </w:rPr>
        <w:t>（1）供应商在提交响应文件截止时间后撤回响应文件的；</w:t>
      </w:r>
    </w:p>
    <w:p>
      <w:pPr>
        <w:pStyle w:val="18"/>
        <w:adjustRightInd w:val="0"/>
        <w:snapToGrid w:val="0"/>
        <w:spacing w:before="120" w:beforeLines="50" w:line="360" w:lineRule="auto"/>
        <w:ind w:firstLine="420" w:firstLineChars="200"/>
        <w:rPr>
          <w:rFonts w:hAnsi="宋体"/>
          <w:color w:val="auto"/>
          <w:highlight w:val="none"/>
        </w:rPr>
      </w:pPr>
      <w:r>
        <w:rPr>
          <w:rFonts w:hint="eastAsia" w:hAnsi="宋体"/>
          <w:color w:val="auto"/>
          <w:highlight w:val="none"/>
        </w:rPr>
        <w:t>（2）供应商在响应文件中提供虚假材料的；</w:t>
      </w:r>
    </w:p>
    <w:p>
      <w:pPr>
        <w:pStyle w:val="18"/>
        <w:adjustRightInd w:val="0"/>
        <w:snapToGrid w:val="0"/>
        <w:spacing w:before="120" w:beforeLines="50" w:line="360" w:lineRule="auto"/>
        <w:ind w:firstLine="420" w:firstLineChars="200"/>
        <w:rPr>
          <w:rFonts w:hAnsi="宋体"/>
          <w:color w:val="auto"/>
          <w:highlight w:val="none"/>
        </w:rPr>
      </w:pPr>
      <w:r>
        <w:rPr>
          <w:rFonts w:hint="eastAsia" w:hAnsi="宋体"/>
          <w:color w:val="auto"/>
          <w:highlight w:val="none"/>
        </w:rPr>
        <w:t>（3）除因不可抗力或磋商文件认可的情形以外，成交供应商不与采购人签订合同的；</w:t>
      </w:r>
    </w:p>
    <w:p>
      <w:pPr>
        <w:pStyle w:val="18"/>
        <w:adjustRightInd w:val="0"/>
        <w:snapToGrid w:val="0"/>
        <w:spacing w:before="120" w:beforeLines="50" w:line="360" w:lineRule="auto"/>
        <w:ind w:firstLine="420" w:firstLineChars="200"/>
        <w:rPr>
          <w:rFonts w:hAnsi="宋体"/>
          <w:color w:val="auto"/>
          <w:highlight w:val="none"/>
        </w:rPr>
      </w:pPr>
      <w:r>
        <w:rPr>
          <w:rFonts w:hint="eastAsia" w:hAnsi="宋体"/>
          <w:color w:val="auto"/>
          <w:highlight w:val="none"/>
        </w:rPr>
        <w:t>（4）供应商与采购人、其他供应商或者采购代理机构恶意串通的；</w:t>
      </w:r>
    </w:p>
    <w:p>
      <w:pPr>
        <w:pStyle w:val="18"/>
        <w:adjustRightInd w:val="0"/>
        <w:snapToGrid w:val="0"/>
        <w:spacing w:before="120" w:beforeLines="50" w:line="360" w:lineRule="auto"/>
        <w:ind w:firstLine="420" w:firstLineChars="200"/>
        <w:rPr>
          <w:rFonts w:hAnsi="宋体"/>
          <w:color w:val="auto"/>
          <w:highlight w:val="none"/>
        </w:rPr>
      </w:pPr>
      <w:r>
        <w:rPr>
          <w:rFonts w:hint="eastAsia" w:hAnsi="宋体"/>
          <w:color w:val="auto"/>
          <w:highlight w:val="none"/>
        </w:rPr>
        <w:t>（5）磋商文件规定的其他情形。</w:t>
      </w:r>
    </w:p>
    <w:p>
      <w:pPr>
        <w:pStyle w:val="5"/>
        <w:keepNext w:val="0"/>
        <w:keepLines w:val="0"/>
        <w:adjustRightInd w:val="0"/>
        <w:snapToGrid w:val="0"/>
        <w:spacing w:before="120" w:beforeLines="50" w:after="0"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12.响应文件有效期</w:t>
      </w:r>
    </w:p>
    <w:p>
      <w:pPr>
        <w:adjustRightInd w:val="0"/>
        <w:snapToGrid w:val="0"/>
        <w:spacing w:before="120" w:beforeLines="50" w:line="360" w:lineRule="auto"/>
        <w:ind w:firstLine="420" w:firstLineChars="200"/>
        <w:jc w:val="left"/>
        <w:rPr>
          <w:rFonts w:ascii="宋体" w:hAnsi="宋体"/>
          <w:color w:val="auto"/>
          <w:highlight w:val="none"/>
        </w:rPr>
      </w:pPr>
      <w:r>
        <w:rPr>
          <w:rFonts w:hint="eastAsia" w:ascii="宋体" w:hAnsi="宋体"/>
          <w:color w:val="auto"/>
          <w:highlight w:val="none"/>
        </w:rPr>
        <w:t>12.1响应文件</w:t>
      </w:r>
      <w:r>
        <w:rPr>
          <w:rFonts w:hint="eastAsia" w:ascii="宋体" w:hAnsi="宋体"/>
          <w:color w:val="auto"/>
          <w:szCs w:val="21"/>
          <w:highlight w:val="none"/>
        </w:rPr>
        <w:t>有效期见</w:t>
      </w:r>
      <w:r>
        <w:rPr>
          <w:rFonts w:hint="eastAsia" w:ascii="宋体" w:hAnsi="宋体"/>
          <w:b/>
          <w:bCs/>
          <w:color w:val="auto"/>
          <w:highlight w:val="none"/>
        </w:rPr>
        <w:t>【磋商须知前附表】</w:t>
      </w:r>
      <w:r>
        <w:rPr>
          <w:rFonts w:hint="eastAsia" w:ascii="宋体" w:hAnsi="宋体"/>
          <w:color w:val="auto"/>
          <w:szCs w:val="21"/>
          <w:highlight w:val="none"/>
        </w:rPr>
        <w:t>，在此期间</w:t>
      </w:r>
      <w:r>
        <w:rPr>
          <w:rFonts w:hint="eastAsia" w:ascii="宋体" w:hAnsi="宋体"/>
          <w:color w:val="auto"/>
          <w:highlight w:val="none"/>
        </w:rPr>
        <w:t>响应</w:t>
      </w:r>
      <w:r>
        <w:rPr>
          <w:rFonts w:hint="eastAsia" w:ascii="宋体" w:hAnsi="宋体"/>
          <w:color w:val="auto"/>
          <w:szCs w:val="21"/>
          <w:highlight w:val="none"/>
        </w:rPr>
        <w:t>文件对供应商具有法律约束力，</w:t>
      </w:r>
      <w:r>
        <w:rPr>
          <w:rFonts w:hint="eastAsia" w:ascii="宋体" w:hAnsi="宋体" w:cs="Arial"/>
          <w:color w:val="auto"/>
          <w:highlight w:val="none"/>
        </w:rPr>
        <w:t>从</w:t>
      </w:r>
      <w:r>
        <w:rPr>
          <w:rFonts w:hint="eastAsia" w:ascii="宋体" w:hAnsi="宋体" w:cs="宋体"/>
          <w:color w:val="auto"/>
          <w:kern w:val="0"/>
          <w:szCs w:val="21"/>
          <w:highlight w:val="none"/>
        </w:rPr>
        <w:t>提交首次响应文件截止时间</w:t>
      </w:r>
      <w:r>
        <w:rPr>
          <w:rFonts w:hint="eastAsia" w:ascii="宋体" w:hAnsi="宋体"/>
          <w:color w:val="auto"/>
          <w:highlight w:val="none"/>
        </w:rPr>
        <w:t>之日</w:t>
      </w:r>
      <w:r>
        <w:rPr>
          <w:rFonts w:hint="eastAsia" w:ascii="宋体" w:hAnsi="宋体" w:cs="Arial"/>
          <w:color w:val="auto"/>
          <w:highlight w:val="none"/>
        </w:rPr>
        <w:t>起计算。</w:t>
      </w:r>
      <w:r>
        <w:rPr>
          <w:rFonts w:hint="eastAsia" w:ascii="宋体" w:hAnsi="宋体"/>
          <w:color w:val="auto"/>
          <w:highlight w:val="none"/>
        </w:rPr>
        <w:t>响应文件有效期不足的将被视为</w:t>
      </w:r>
      <w:r>
        <w:rPr>
          <w:rFonts w:hint="eastAsia" w:ascii="宋体" w:hAnsi="宋体"/>
          <w:b/>
          <w:color w:val="auto"/>
          <w:highlight w:val="none"/>
        </w:rPr>
        <w:t>无效响应</w:t>
      </w:r>
      <w:r>
        <w:rPr>
          <w:rFonts w:hint="eastAsia" w:ascii="宋体" w:hAnsi="宋体"/>
          <w:color w:val="auto"/>
          <w:highlight w:val="none"/>
        </w:rPr>
        <w:t>。</w:t>
      </w:r>
    </w:p>
    <w:p>
      <w:pPr>
        <w:pStyle w:val="5"/>
        <w:keepNext w:val="0"/>
        <w:keepLines w:val="0"/>
        <w:adjustRightInd w:val="0"/>
        <w:snapToGrid w:val="0"/>
        <w:spacing w:before="120" w:beforeLines="50" w:after="0"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13.分包</w:t>
      </w:r>
    </w:p>
    <w:p>
      <w:pPr>
        <w:adjustRightInd w:val="0"/>
        <w:snapToGrid w:val="0"/>
        <w:spacing w:before="120" w:beforeLines="50" w:line="360" w:lineRule="auto"/>
        <w:ind w:firstLine="420" w:firstLineChars="200"/>
        <w:jc w:val="left"/>
        <w:rPr>
          <w:rFonts w:ascii="宋体" w:hAnsi="宋体"/>
          <w:color w:val="auto"/>
          <w:highlight w:val="none"/>
        </w:rPr>
      </w:pPr>
      <w:r>
        <w:rPr>
          <w:rFonts w:hint="eastAsia" w:ascii="宋体" w:hAnsi="宋体"/>
          <w:color w:val="auto"/>
          <w:highlight w:val="none"/>
        </w:rPr>
        <w:t>13.1</w:t>
      </w:r>
      <w:r>
        <w:rPr>
          <w:rFonts w:hint="eastAsia" w:ascii="宋体" w:hAnsi="宋体"/>
          <w:color w:val="auto"/>
          <w:szCs w:val="21"/>
          <w:highlight w:val="none"/>
        </w:rPr>
        <w:t>供应商</w:t>
      </w:r>
      <w:r>
        <w:rPr>
          <w:rFonts w:hint="eastAsia" w:ascii="宋体" w:hAnsi="宋体"/>
          <w:color w:val="auto"/>
          <w:highlight w:val="none"/>
        </w:rPr>
        <w:t>拟在成交后将采购</w:t>
      </w:r>
      <w:r>
        <w:rPr>
          <w:rFonts w:hint="eastAsia" w:ascii="宋体" w:hAnsi="宋体"/>
          <w:color w:val="auto"/>
          <w:szCs w:val="21"/>
          <w:highlight w:val="none"/>
        </w:rPr>
        <w:t>项目的非主体、非关键性工作进行分包的，应符合</w:t>
      </w:r>
      <w:r>
        <w:rPr>
          <w:rFonts w:hint="eastAsia" w:ascii="宋体" w:hAnsi="宋体"/>
          <w:b/>
          <w:bCs/>
          <w:color w:val="auto"/>
          <w:highlight w:val="none"/>
        </w:rPr>
        <w:t>【磋商须知前附表】</w:t>
      </w:r>
      <w:r>
        <w:rPr>
          <w:rFonts w:hint="eastAsia" w:ascii="宋体" w:hAnsi="宋体"/>
          <w:color w:val="auto"/>
          <w:szCs w:val="21"/>
          <w:highlight w:val="none"/>
        </w:rPr>
        <w:t>规定的分包内容、分包金</w:t>
      </w:r>
      <w:r>
        <w:rPr>
          <w:rFonts w:hint="eastAsia" w:ascii="宋体" w:hAnsi="宋体"/>
          <w:color w:val="auto"/>
          <w:highlight w:val="none"/>
        </w:rPr>
        <w:t>额和资质要求等限制性条件，并在响应文件中载明分包承担主体，且分包承担主体不得再次分包。</w:t>
      </w:r>
    </w:p>
    <w:p>
      <w:pPr>
        <w:adjustRightInd w:val="0"/>
        <w:snapToGrid w:val="0"/>
        <w:spacing w:before="120" w:beforeLines="50" w:line="360" w:lineRule="auto"/>
        <w:ind w:firstLine="420" w:firstLineChars="200"/>
        <w:jc w:val="left"/>
        <w:rPr>
          <w:rFonts w:ascii="宋体" w:hAnsi="宋体"/>
          <w:color w:val="auto"/>
          <w:highlight w:val="none"/>
        </w:rPr>
      </w:pPr>
      <w:r>
        <w:rPr>
          <w:rFonts w:hint="eastAsia" w:ascii="宋体" w:hAnsi="宋体"/>
          <w:color w:val="auto"/>
          <w:highlight w:val="none"/>
        </w:rPr>
        <w:t>13.</w:t>
      </w:r>
      <w:r>
        <w:rPr>
          <w:rFonts w:ascii="宋体" w:hAnsi="宋体"/>
          <w:color w:val="auto"/>
          <w:highlight w:val="none"/>
        </w:rPr>
        <w:t>2</w:t>
      </w:r>
      <w:r>
        <w:rPr>
          <w:rFonts w:hint="eastAsia" w:ascii="宋体" w:hAnsi="宋体"/>
          <w:color w:val="auto"/>
          <w:highlight w:val="none"/>
        </w:rPr>
        <w:t>成交</w:t>
      </w:r>
      <w:r>
        <w:rPr>
          <w:rFonts w:hint="eastAsia" w:ascii="宋体" w:hAnsi="宋体"/>
          <w:color w:val="auto"/>
          <w:szCs w:val="21"/>
          <w:highlight w:val="none"/>
        </w:rPr>
        <w:t>供应商</w:t>
      </w:r>
      <w:r>
        <w:rPr>
          <w:rFonts w:hint="eastAsia" w:ascii="宋体" w:hAnsi="宋体"/>
          <w:color w:val="auto"/>
          <w:highlight w:val="none"/>
        </w:rPr>
        <w:t>应当就分包项目向采购人负责，分包承担主体就分包项目承担连带责任。</w:t>
      </w:r>
    </w:p>
    <w:p>
      <w:pPr>
        <w:adjustRightInd w:val="0"/>
        <w:snapToGrid w:val="0"/>
        <w:spacing w:before="120" w:beforeLines="50" w:line="360" w:lineRule="auto"/>
        <w:ind w:firstLine="420" w:firstLineChars="200"/>
        <w:jc w:val="left"/>
        <w:rPr>
          <w:rFonts w:ascii="宋体" w:hAnsi="宋体"/>
          <w:color w:val="auto"/>
          <w:highlight w:val="none"/>
        </w:rPr>
      </w:pPr>
      <w:r>
        <w:rPr>
          <w:rFonts w:hint="eastAsia" w:ascii="宋体" w:hAnsi="宋体"/>
          <w:color w:val="auto"/>
          <w:highlight w:val="none"/>
        </w:rPr>
        <w:t>13.</w:t>
      </w:r>
      <w:r>
        <w:rPr>
          <w:rFonts w:ascii="宋体" w:hAnsi="宋体"/>
          <w:color w:val="auto"/>
          <w:highlight w:val="none"/>
        </w:rPr>
        <w:t>3</w:t>
      </w:r>
      <w:r>
        <w:rPr>
          <w:rFonts w:hint="eastAsia" w:ascii="宋体" w:hAnsi="宋体"/>
          <w:color w:val="auto"/>
          <w:highlight w:val="none"/>
        </w:rPr>
        <w:t>不符合磋商文件中有关分包规定的，其</w:t>
      </w:r>
      <w:r>
        <w:rPr>
          <w:rFonts w:hint="eastAsia" w:ascii="宋体" w:hAnsi="宋体"/>
          <w:b/>
          <w:color w:val="auto"/>
          <w:highlight w:val="none"/>
        </w:rPr>
        <w:t>响应无效</w:t>
      </w:r>
      <w:r>
        <w:rPr>
          <w:rFonts w:hint="eastAsia" w:ascii="宋体" w:hAnsi="宋体"/>
          <w:color w:val="auto"/>
          <w:highlight w:val="none"/>
        </w:rPr>
        <w:t>。</w:t>
      </w:r>
    </w:p>
    <w:p>
      <w:pPr>
        <w:pStyle w:val="5"/>
        <w:keepNext w:val="0"/>
        <w:keepLines w:val="0"/>
        <w:adjustRightInd w:val="0"/>
        <w:snapToGrid w:val="0"/>
        <w:spacing w:before="50" w:after="0"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14.响应文件的签署及规定</w:t>
      </w:r>
    </w:p>
    <w:p>
      <w:pPr>
        <w:pStyle w:val="18"/>
        <w:adjustRightInd w:val="0"/>
        <w:snapToGrid w:val="0"/>
        <w:spacing w:before="120" w:beforeLines="50" w:line="360" w:lineRule="auto"/>
        <w:ind w:firstLine="420" w:firstLineChars="200"/>
        <w:rPr>
          <w:rFonts w:hAnsi="宋体"/>
          <w:color w:val="auto"/>
          <w:highlight w:val="none"/>
        </w:rPr>
      </w:pPr>
      <w:r>
        <w:rPr>
          <w:rFonts w:hint="eastAsia" w:hAnsi="宋体"/>
          <w:color w:val="auto"/>
          <w:highlight w:val="none"/>
        </w:rPr>
        <w:t>14.1响应文件应按磋商文件要求在签章处盖供应商单位公章和在签字处由供应商代表签字。供应商代表可为供应商法定代表人(非法人组织为负责人或合伙人、个体工商户为负责人，磋商文件统称单位负责人)；供应商代表不是供应商的法定代表人的，应提供法定代表人授权委托书。</w:t>
      </w:r>
    </w:p>
    <w:p>
      <w:pPr>
        <w:pStyle w:val="18"/>
        <w:adjustRightInd w:val="0"/>
        <w:snapToGrid w:val="0"/>
        <w:spacing w:before="120" w:beforeLines="50" w:line="360" w:lineRule="auto"/>
        <w:ind w:firstLine="420" w:firstLineChars="200"/>
        <w:rPr>
          <w:rFonts w:hAnsi="宋体"/>
          <w:color w:val="auto"/>
          <w:highlight w:val="none"/>
        </w:rPr>
      </w:pPr>
      <w:r>
        <w:rPr>
          <w:rFonts w:hint="eastAsia" w:hAnsi="宋体"/>
          <w:color w:val="auto"/>
          <w:highlight w:val="none"/>
        </w:rPr>
        <w:t>14.2响应文件正本一份，副本份数见</w:t>
      </w:r>
      <w:r>
        <w:rPr>
          <w:rFonts w:hint="eastAsia" w:hAnsi="宋体"/>
          <w:b/>
          <w:color w:val="auto"/>
          <w:highlight w:val="none"/>
        </w:rPr>
        <w:t>【磋商须知前附表】</w:t>
      </w:r>
      <w:r>
        <w:rPr>
          <w:rFonts w:hint="eastAsia" w:hAnsi="宋体"/>
          <w:color w:val="auto"/>
          <w:highlight w:val="none"/>
        </w:rPr>
        <w:t>；响应文件电子文档（U盘形式）：一份</w:t>
      </w:r>
      <w:r>
        <w:rPr>
          <w:rFonts w:hint="eastAsia" w:hAnsi="宋体"/>
          <w:b/>
          <w:color w:val="auto"/>
          <w:highlight w:val="none"/>
        </w:rPr>
        <w:t>。</w:t>
      </w:r>
      <w:r>
        <w:rPr>
          <w:rFonts w:hint="eastAsia" w:hAnsi="宋体"/>
          <w:color w:val="auto"/>
          <w:highlight w:val="none"/>
        </w:rPr>
        <w:t>纸质响应文件须清楚地注明“正本”或“副本”的字样。若副本和正本不一致或电子版文件和纸质正本文件不一致时，以纸质正本文件为准。响应文件的正本与副本应分别装订成册，并编制目录。响应文件的副本可为正本的复印件。</w:t>
      </w:r>
    </w:p>
    <w:p>
      <w:pPr>
        <w:adjustRightInd w:val="0"/>
        <w:snapToGrid w:val="0"/>
        <w:spacing w:before="120"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14.3</w:t>
      </w:r>
      <w:r>
        <w:rPr>
          <w:rFonts w:hint="eastAsia" w:ascii="宋体" w:hAnsi="宋体"/>
          <w:color w:val="auto"/>
          <w:highlight w:val="none"/>
        </w:rPr>
        <w:t>响应文件任何加行、涂改、增删等改动，改动之处应由供应商代表签字。否则，将导致</w:t>
      </w:r>
      <w:r>
        <w:rPr>
          <w:rFonts w:hint="eastAsia" w:ascii="宋体" w:hAnsi="宋体"/>
          <w:b/>
          <w:color w:val="auto"/>
          <w:highlight w:val="none"/>
        </w:rPr>
        <w:t>响应文件无效。</w:t>
      </w:r>
    </w:p>
    <w:p>
      <w:pPr>
        <w:pStyle w:val="18"/>
        <w:adjustRightInd w:val="0"/>
        <w:snapToGrid w:val="0"/>
        <w:spacing w:before="120" w:beforeLines="50" w:line="360" w:lineRule="auto"/>
        <w:ind w:firstLine="420" w:firstLineChars="200"/>
        <w:rPr>
          <w:rFonts w:hAnsi="宋体"/>
          <w:color w:val="auto"/>
          <w:highlight w:val="none"/>
        </w:rPr>
      </w:pPr>
      <w:r>
        <w:rPr>
          <w:rFonts w:hint="eastAsia" w:hAnsi="宋体"/>
          <w:color w:val="auto"/>
          <w:highlight w:val="none"/>
        </w:rPr>
        <w:t>14.4在磋商过程中，供应商按磋商文件规定和磋商小组要求</w:t>
      </w:r>
      <w:r>
        <w:rPr>
          <w:rFonts w:hint="eastAsia" w:hAnsi="宋体" w:cs="宋体"/>
          <w:color w:val="auto"/>
          <w:kern w:val="0"/>
          <w:highlight w:val="none"/>
        </w:rPr>
        <w:t>提交的</w:t>
      </w:r>
      <w:r>
        <w:rPr>
          <w:rFonts w:hint="eastAsia" w:hAnsi="宋体"/>
          <w:color w:val="auto"/>
          <w:highlight w:val="none"/>
        </w:rPr>
        <w:t>最后报价(或者</w:t>
      </w:r>
      <w:r>
        <w:rPr>
          <w:rFonts w:hint="eastAsia" w:hAnsi="宋体"/>
          <w:bCs/>
          <w:color w:val="auto"/>
          <w:highlight w:val="none"/>
        </w:rPr>
        <w:t>重</w:t>
      </w:r>
      <w:r>
        <w:rPr>
          <w:rFonts w:hint="eastAsia" w:hAnsi="宋体" w:cs="宋体"/>
          <w:color w:val="auto"/>
          <w:kern w:val="0"/>
          <w:highlight w:val="none"/>
        </w:rPr>
        <w:t>新提交的响应文件和</w:t>
      </w:r>
      <w:r>
        <w:rPr>
          <w:rFonts w:hint="eastAsia" w:hAnsi="宋体"/>
          <w:color w:val="auto"/>
          <w:highlight w:val="none"/>
        </w:rPr>
        <w:t>最后报价)，可打印或用不褪色材料书写，并经供应商代表签字，</w:t>
      </w:r>
      <w:r>
        <w:rPr>
          <w:rFonts w:hint="eastAsia" w:hAnsi="宋体" w:cs="宋体"/>
          <w:color w:val="auto"/>
          <w:kern w:val="0"/>
          <w:highlight w:val="none"/>
        </w:rPr>
        <w:t>或者加盖供应商单位公章</w:t>
      </w:r>
      <w:r>
        <w:rPr>
          <w:rFonts w:hint="eastAsia" w:hAnsi="宋体"/>
          <w:color w:val="auto"/>
          <w:highlight w:val="none"/>
        </w:rPr>
        <w:t>。否则，将导致响应文件无效。</w:t>
      </w:r>
    </w:p>
    <w:p>
      <w:pPr>
        <w:adjustRightInd w:val="0"/>
        <w:snapToGrid w:val="0"/>
        <w:spacing w:before="120"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14.5为便于采购文件保存，</w:t>
      </w:r>
      <w:r>
        <w:rPr>
          <w:rFonts w:hint="eastAsia" w:ascii="宋体" w:hAnsi="宋体"/>
          <w:color w:val="auto"/>
          <w:highlight w:val="none"/>
        </w:rPr>
        <w:t>响应文件</w:t>
      </w:r>
      <w:r>
        <w:rPr>
          <w:rFonts w:hint="eastAsia" w:ascii="宋体" w:hAnsi="宋体"/>
          <w:color w:val="auto"/>
          <w:szCs w:val="21"/>
          <w:highlight w:val="none"/>
        </w:rPr>
        <w:t>电子文档建议为PDF格式，内容与纸质</w:t>
      </w:r>
      <w:r>
        <w:rPr>
          <w:rFonts w:hint="eastAsia" w:ascii="宋体" w:hAnsi="宋体"/>
          <w:color w:val="auto"/>
          <w:highlight w:val="none"/>
        </w:rPr>
        <w:t>响应文件</w:t>
      </w:r>
      <w:r>
        <w:rPr>
          <w:rFonts w:hint="eastAsia" w:ascii="宋体" w:hAnsi="宋体"/>
          <w:color w:val="auto"/>
          <w:szCs w:val="21"/>
          <w:highlight w:val="none"/>
        </w:rPr>
        <w:t>正本一致。</w:t>
      </w:r>
    </w:p>
    <w:p>
      <w:pPr>
        <w:pStyle w:val="4"/>
        <w:keepNext w:val="0"/>
        <w:keepLines w:val="0"/>
        <w:adjustRightInd w:val="0"/>
        <w:snapToGrid w:val="0"/>
        <w:spacing w:before="120" w:beforeLines="50" w:after="0" w:line="360" w:lineRule="auto"/>
        <w:jc w:val="center"/>
        <w:rPr>
          <w:rFonts w:ascii="宋体" w:hAnsi="宋体"/>
          <w:color w:val="auto"/>
          <w:sz w:val="28"/>
          <w:szCs w:val="28"/>
          <w:highlight w:val="none"/>
        </w:rPr>
      </w:pPr>
      <w:bookmarkStart w:id="23" w:name="_Toc106890507"/>
    </w:p>
    <w:p>
      <w:pPr>
        <w:pStyle w:val="4"/>
        <w:keepNext w:val="0"/>
        <w:keepLines w:val="0"/>
        <w:adjustRightInd w:val="0"/>
        <w:snapToGrid w:val="0"/>
        <w:spacing w:before="120" w:beforeLines="50" w:after="0" w:line="360" w:lineRule="auto"/>
        <w:jc w:val="center"/>
        <w:rPr>
          <w:rFonts w:ascii="宋体" w:hAnsi="宋体"/>
          <w:color w:val="auto"/>
          <w:sz w:val="28"/>
          <w:szCs w:val="28"/>
          <w:highlight w:val="none"/>
        </w:rPr>
      </w:pPr>
      <w:r>
        <w:rPr>
          <w:rFonts w:hint="eastAsia" w:ascii="宋体" w:hAnsi="宋体"/>
          <w:color w:val="auto"/>
          <w:sz w:val="28"/>
          <w:szCs w:val="28"/>
          <w:highlight w:val="none"/>
        </w:rPr>
        <w:t>四、响应文件的递交</w:t>
      </w:r>
      <w:bookmarkEnd w:id="23"/>
    </w:p>
    <w:p>
      <w:pPr>
        <w:pStyle w:val="5"/>
        <w:keepNext w:val="0"/>
        <w:keepLines w:val="0"/>
        <w:adjustRightInd w:val="0"/>
        <w:snapToGrid w:val="0"/>
        <w:spacing w:before="50" w:after="0"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15.响应文件的密封和标记</w:t>
      </w:r>
    </w:p>
    <w:p>
      <w:pPr>
        <w:pStyle w:val="18"/>
        <w:adjustRightInd w:val="0"/>
        <w:snapToGrid w:val="0"/>
        <w:spacing w:before="120" w:beforeLines="50" w:line="360" w:lineRule="auto"/>
        <w:ind w:firstLine="420" w:firstLineChars="200"/>
        <w:rPr>
          <w:rFonts w:hAnsi="宋体"/>
          <w:color w:val="auto"/>
          <w:highlight w:val="none"/>
        </w:rPr>
      </w:pPr>
      <w:r>
        <w:rPr>
          <w:rFonts w:hint="eastAsia" w:hAnsi="宋体"/>
          <w:color w:val="auto"/>
          <w:highlight w:val="none"/>
        </w:rPr>
        <w:t>15.1响应文件应密封包装，以保证其响应文件信息在提交首次响应文件截止时间前不被透露。</w:t>
      </w:r>
    </w:p>
    <w:p>
      <w:pPr>
        <w:adjustRightInd w:val="0"/>
        <w:snapToGrid w:val="0"/>
        <w:spacing w:before="120"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15.2响应文件封套上应写明的内容见</w:t>
      </w:r>
      <w:r>
        <w:rPr>
          <w:rFonts w:hint="eastAsia" w:ascii="宋体" w:hAnsi="宋体"/>
          <w:b/>
          <w:color w:val="auto"/>
          <w:szCs w:val="21"/>
          <w:highlight w:val="none"/>
        </w:rPr>
        <w:t>【</w:t>
      </w:r>
      <w:r>
        <w:rPr>
          <w:rFonts w:hint="eastAsia" w:ascii="宋体" w:hAnsi="宋体"/>
          <w:b/>
          <w:color w:val="auto"/>
          <w:highlight w:val="none"/>
        </w:rPr>
        <w:t>磋商</w:t>
      </w:r>
      <w:r>
        <w:rPr>
          <w:rFonts w:hint="eastAsia" w:ascii="宋体" w:hAnsi="宋体"/>
          <w:b/>
          <w:color w:val="auto"/>
          <w:szCs w:val="21"/>
          <w:highlight w:val="none"/>
        </w:rPr>
        <w:t>须知前附表】。</w:t>
      </w:r>
    </w:p>
    <w:p>
      <w:pPr>
        <w:adjustRightInd w:val="0"/>
        <w:snapToGrid w:val="0"/>
        <w:spacing w:before="120"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15.3响应文件如果未按本章第</w:t>
      </w:r>
      <w:r>
        <w:rPr>
          <w:rFonts w:hint="eastAsia" w:ascii="宋体" w:hAnsi="宋体"/>
          <w:color w:val="auto"/>
          <w:highlight w:val="none"/>
        </w:rPr>
        <w:t>15.1款</w:t>
      </w:r>
      <w:r>
        <w:rPr>
          <w:rFonts w:hint="eastAsia" w:ascii="宋体" w:hAnsi="宋体"/>
          <w:color w:val="auto"/>
          <w:szCs w:val="21"/>
          <w:highlight w:val="none"/>
        </w:rPr>
        <w:t>规定密封，采购人、采购代理机构将拒绝接收。</w:t>
      </w:r>
    </w:p>
    <w:p>
      <w:pPr>
        <w:pStyle w:val="5"/>
        <w:keepNext w:val="0"/>
        <w:keepLines w:val="0"/>
        <w:adjustRightInd w:val="0"/>
        <w:snapToGrid w:val="0"/>
        <w:spacing w:before="50" w:after="0"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16.响应文件的</w:t>
      </w:r>
      <w:r>
        <w:rPr>
          <w:rFonts w:hint="eastAsia" w:ascii="宋体" w:hAnsi="宋体" w:eastAsia="宋体" w:cs="宋体"/>
          <w:color w:val="auto"/>
          <w:kern w:val="0"/>
          <w:sz w:val="24"/>
          <w:szCs w:val="24"/>
          <w:highlight w:val="none"/>
          <w:lang w:val="zh-CN"/>
        </w:rPr>
        <w:t>补充、修改或者撤回</w:t>
      </w:r>
    </w:p>
    <w:p>
      <w:pPr>
        <w:pStyle w:val="18"/>
        <w:adjustRightInd w:val="0"/>
        <w:snapToGrid w:val="0"/>
        <w:spacing w:before="120" w:beforeLines="50" w:line="360" w:lineRule="auto"/>
        <w:ind w:firstLine="420" w:firstLineChars="200"/>
        <w:rPr>
          <w:rFonts w:hAnsi="宋体"/>
          <w:color w:val="auto"/>
          <w:highlight w:val="none"/>
        </w:rPr>
      </w:pPr>
      <w:r>
        <w:rPr>
          <w:rFonts w:hint="eastAsia" w:hAnsi="宋体"/>
          <w:color w:val="auto"/>
          <w:highlight w:val="none"/>
        </w:rPr>
        <w:t>16.1</w:t>
      </w:r>
      <w:r>
        <w:rPr>
          <w:rFonts w:hint="eastAsia" w:hAnsi="宋体" w:cs="宋体"/>
          <w:color w:val="auto"/>
          <w:kern w:val="0"/>
          <w:highlight w:val="none"/>
        </w:rPr>
        <w:t>供应商在提交首次响应文件截止时间前，可以对所提交的首次响应文件进行补充、修改或者撤回，并书面通知采购人、采购代理机构。</w:t>
      </w:r>
      <w:r>
        <w:rPr>
          <w:rFonts w:hint="eastAsia" w:hAnsi="宋体"/>
          <w:color w:val="auto"/>
          <w:highlight w:val="none"/>
        </w:rPr>
        <w:t>该通知应有供应商代表签字。</w:t>
      </w:r>
    </w:p>
    <w:p>
      <w:pPr>
        <w:pStyle w:val="18"/>
        <w:adjustRightInd w:val="0"/>
        <w:snapToGrid w:val="0"/>
        <w:spacing w:before="120" w:beforeLines="50" w:line="360" w:lineRule="auto"/>
        <w:ind w:firstLine="420" w:firstLineChars="200"/>
        <w:rPr>
          <w:rFonts w:hAnsi="宋体"/>
          <w:color w:val="auto"/>
          <w:highlight w:val="none"/>
        </w:rPr>
      </w:pPr>
      <w:r>
        <w:rPr>
          <w:rFonts w:hint="eastAsia" w:hAnsi="宋体"/>
          <w:color w:val="auto"/>
          <w:highlight w:val="none"/>
        </w:rPr>
        <w:t>16.2</w:t>
      </w:r>
      <w:r>
        <w:rPr>
          <w:rFonts w:hint="eastAsia" w:hAnsi="宋体" w:cs="宋体"/>
          <w:color w:val="auto"/>
          <w:kern w:val="0"/>
          <w:highlight w:val="none"/>
          <w:lang w:val="zh-CN"/>
        </w:rPr>
        <w:t>补充、修改的内容与响应文件不一致时，以补充、修改的内容为准。</w:t>
      </w:r>
    </w:p>
    <w:p>
      <w:pPr>
        <w:pStyle w:val="5"/>
        <w:keepNext w:val="0"/>
        <w:keepLines w:val="0"/>
        <w:adjustRightInd w:val="0"/>
        <w:snapToGrid w:val="0"/>
        <w:spacing w:before="50" w:after="0"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17.响应文件的递交与接收</w:t>
      </w:r>
    </w:p>
    <w:p>
      <w:pPr>
        <w:adjustRightInd w:val="0"/>
        <w:snapToGrid w:val="0"/>
        <w:spacing w:before="120" w:beforeLines="50" w:line="360" w:lineRule="auto"/>
        <w:ind w:firstLine="420" w:firstLineChars="200"/>
        <w:rPr>
          <w:rFonts w:ascii="宋体" w:hAnsi="宋体" w:cs="宋体"/>
          <w:color w:val="auto"/>
          <w:kern w:val="0"/>
          <w:highlight w:val="none"/>
        </w:rPr>
      </w:pPr>
      <w:r>
        <w:rPr>
          <w:rFonts w:hint="eastAsia" w:ascii="宋体" w:hAnsi="宋体"/>
          <w:color w:val="auto"/>
          <w:szCs w:val="21"/>
          <w:highlight w:val="none"/>
        </w:rPr>
        <w:t>17.1供应商应在</w:t>
      </w:r>
      <w:r>
        <w:rPr>
          <w:rFonts w:hint="eastAsia" w:ascii="宋体" w:hAnsi="宋体"/>
          <w:b/>
          <w:color w:val="auto"/>
          <w:szCs w:val="21"/>
          <w:highlight w:val="none"/>
        </w:rPr>
        <w:t>【</w:t>
      </w:r>
      <w:r>
        <w:rPr>
          <w:rFonts w:hint="eastAsia" w:ascii="宋体" w:hAnsi="宋体"/>
          <w:b/>
          <w:color w:val="auto"/>
          <w:highlight w:val="none"/>
        </w:rPr>
        <w:t>磋商</w:t>
      </w:r>
      <w:r>
        <w:rPr>
          <w:rFonts w:hint="eastAsia" w:ascii="宋体" w:hAnsi="宋体"/>
          <w:b/>
          <w:color w:val="auto"/>
          <w:szCs w:val="21"/>
          <w:highlight w:val="none"/>
        </w:rPr>
        <w:t>须知前附表】</w:t>
      </w:r>
      <w:r>
        <w:rPr>
          <w:rFonts w:hint="eastAsia" w:ascii="宋体" w:hAnsi="宋体"/>
          <w:color w:val="auto"/>
          <w:highlight w:val="none"/>
        </w:rPr>
        <w:t>规定的</w:t>
      </w:r>
      <w:r>
        <w:rPr>
          <w:rFonts w:hint="eastAsia" w:ascii="宋体" w:hAnsi="宋体" w:cs="宋体"/>
          <w:color w:val="auto"/>
          <w:kern w:val="0"/>
          <w:szCs w:val="21"/>
          <w:highlight w:val="none"/>
        </w:rPr>
        <w:t>时间和</w:t>
      </w:r>
      <w:r>
        <w:rPr>
          <w:rFonts w:hint="eastAsia" w:ascii="宋体" w:hAnsi="宋体"/>
          <w:color w:val="auto"/>
          <w:szCs w:val="21"/>
          <w:highlight w:val="none"/>
        </w:rPr>
        <w:t>地点提交响应文件。</w:t>
      </w:r>
      <w:r>
        <w:rPr>
          <w:rFonts w:hint="eastAsia" w:ascii="宋体" w:hAnsi="宋体" w:cs="宋体"/>
          <w:color w:val="auto"/>
          <w:kern w:val="0"/>
          <w:highlight w:val="none"/>
        </w:rPr>
        <w:t>采购人、采购代理机构或者磋商小组拒收逾期送达的响应文件。</w:t>
      </w:r>
    </w:p>
    <w:p>
      <w:pPr>
        <w:adjustRightInd w:val="0"/>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17.2采购人、采购代理机构收到响应文件后，应当如实记载响应文件的送达时间和密封情况，签收保存，并向供应商出具包括以下信息的签收回执。任何单位和个人不得在提交首次响应文件截止时间前开启响应文件。</w:t>
      </w:r>
    </w:p>
    <w:p>
      <w:pPr>
        <w:adjustRightInd w:val="0"/>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（1）项目名称；</w:t>
      </w:r>
    </w:p>
    <w:p>
      <w:pPr>
        <w:adjustRightInd w:val="0"/>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（2）供应商名称；</w:t>
      </w:r>
    </w:p>
    <w:p>
      <w:pPr>
        <w:adjustRightInd w:val="0"/>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（3）响应文件送达时间、地址；</w:t>
      </w:r>
    </w:p>
    <w:p>
      <w:pPr>
        <w:adjustRightInd w:val="0"/>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（4）响应文件密封情况；</w:t>
      </w:r>
    </w:p>
    <w:p>
      <w:pPr>
        <w:adjustRightInd w:val="0"/>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（5）采购人、采购代理机构名称；</w:t>
      </w:r>
    </w:p>
    <w:p>
      <w:pPr>
        <w:adjustRightInd w:val="0"/>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（6）采购人、采购代理机构接收人签字。</w:t>
      </w:r>
    </w:p>
    <w:p>
      <w:pPr>
        <w:pStyle w:val="18"/>
        <w:adjustRightInd w:val="0"/>
        <w:snapToGrid w:val="0"/>
        <w:spacing w:before="120" w:beforeLines="50" w:line="360" w:lineRule="auto"/>
        <w:ind w:firstLine="420" w:firstLineChars="200"/>
        <w:rPr>
          <w:rFonts w:hAnsi="宋体"/>
          <w:color w:val="auto"/>
          <w:highlight w:val="none"/>
        </w:rPr>
      </w:pPr>
      <w:r>
        <w:rPr>
          <w:rFonts w:hint="eastAsia" w:hAnsi="宋体"/>
          <w:color w:val="auto"/>
          <w:highlight w:val="none"/>
        </w:rPr>
        <w:t>17.3采购人、</w:t>
      </w:r>
      <w:r>
        <w:rPr>
          <w:rFonts w:hint="eastAsia" w:hAnsi="宋体"/>
          <w:bCs/>
          <w:color w:val="auto"/>
          <w:highlight w:val="none"/>
        </w:rPr>
        <w:t>采购代理机构</w:t>
      </w:r>
      <w:r>
        <w:rPr>
          <w:rFonts w:hint="eastAsia" w:hAnsi="宋体"/>
          <w:color w:val="auto"/>
          <w:highlight w:val="none"/>
        </w:rPr>
        <w:t>在按本章第25.3款规定公布供应商的最后报价前，不公开供应商的技术资料、价格和其他信息。</w:t>
      </w:r>
    </w:p>
    <w:p>
      <w:pPr>
        <w:pStyle w:val="4"/>
        <w:keepNext w:val="0"/>
        <w:keepLines w:val="0"/>
        <w:adjustRightInd w:val="0"/>
        <w:snapToGrid w:val="0"/>
        <w:spacing w:before="120" w:beforeLines="50" w:after="0" w:line="360" w:lineRule="auto"/>
        <w:jc w:val="center"/>
        <w:rPr>
          <w:rFonts w:ascii="宋体" w:hAnsi="宋体"/>
          <w:color w:val="auto"/>
          <w:sz w:val="28"/>
          <w:szCs w:val="28"/>
          <w:highlight w:val="none"/>
        </w:rPr>
      </w:pPr>
      <w:bookmarkStart w:id="24" w:name="_Toc106890508"/>
    </w:p>
    <w:p>
      <w:pPr>
        <w:pStyle w:val="4"/>
        <w:keepNext w:val="0"/>
        <w:keepLines w:val="0"/>
        <w:adjustRightInd w:val="0"/>
        <w:snapToGrid w:val="0"/>
        <w:spacing w:before="120" w:beforeLines="50" w:after="0" w:line="360" w:lineRule="auto"/>
        <w:jc w:val="center"/>
        <w:rPr>
          <w:rFonts w:ascii="宋体" w:hAnsi="宋体"/>
          <w:color w:val="auto"/>
          <w:sz w:val="28"/>
          <w:szCs w:val="28"/>
          <w:highlight w:val="none"/>
        </w:rPr>
      </w:pPr>
      <w:r>
        <w:rPr>
          <w:rFonts w:hint="eastAsia" w:ascii="宋体" w:hAnsi="宋体"/>
          <w:color w:val="auto"/>
          <w:sz w:val="28"/>
          <w:szCs w:val="28"/>
          <w:highlight w:val="none"/>
        </w:rPr>
        <w:t>五、响应文件的评审与磋商</w:t>
      </w:r>
      <w:bookmarkEnd w:id="24"/>
    </w:p>
    <w:p>
      <w:pPr>
        <w:pStyle w:val="5"/>
        <w:keepNext w:val="0"/>
        <w:keepLines w:val="0"/>
        <w:adjustRightInd w:val="0"/>
        <w:snapToGrid w:val="0"/>
        <w:spacing w:before="50" w:after="0"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18.供应商资格复核</w:t>
      </w:r>
    </w:p>
    <w:p>
      <w:pPr>
        <w:adjustRightInd w:val="0"/>
        <w:snapToGrid w:val="0"/>
        <w:spacing w:before="120" w:beforeLines="50" w:line="360" w:lineRule="auto"/>
        <w:ind w:firstLine="420" w:firstLineChars="200"/>
        <w:rPr>
          <w:rFonts w:ascii="宋体" w:hAnsi="宋体"/>
          <w:color w:val="auto"/>
          <w:szCs w:val="21"/>
          <w:highlight w:val="none"/>
        </w:rPr>
      </w:pPr>
      <w:r>
        <w:rPr>
          <w:rFonts w:hint="eastAsia" w:ascii="宋体" w:hAnsi="宋体" w:cs="宋体"/>
          <w:color w:val="auto"/>
          <w:kern w:val="0"/>
          <w:highlight w:val="none"/>
          <w:lang w:val="zh-CN"/>
        </w:rPr>
        <w:t>18.1</w:t>
      </w:r>
      <w:r>
        <w:rPr>
          <w:rFonts w:hint="eastAsia" w:ascii="宋体" w:hAnsi="宋体"/>
          <w:color w:val="auto"/>
          <w:szCs w:val="21"/>
          <w:highlight w:val="none"/>
        </w:rPr>
        <w:t>被邀请的供应商在提交资格证明材料</w:t>
      </w:r>
      <w:r>
        <w:rPr>
          <w:rFonts w:hint="eastAsia" w:ascii="宋体" w:hAnsi="宋体"/>
          <w:bCs/>
          <w:color w:val="auto"/>
          <w:szCs w:val="21"/>
          <w:highlight w:val="none"/>
        </w:rPr>
        <w:t>起</w:t>
      </w:r>
      <w:r>
        <w:rPr>
          <w:rFonts w:hint="eastAsia" w:ascii="宋体" w:hAnsi="宋体"/>
          <w:color w:val="auto"/>
          <w:szCs w:val="21"/>
          <w:highlight w:val="none"/>
        </w:rPr>
        <w:t>至</w:t>
      </w:r>
      <w:r>
        <w:rPr>
          <w:rFonts w:hint="eastAsia" w:ascii="宋体" w:hAnsi="宋体" w:cs="宋体"/>
          <w:color w:val="auto"/>
          <w:kern w:val="0"/>
          <w:highlight w:val="none"/>
        </w:rPr>
        <w:t>提交首次响应文件</w:t>
      </w:r>
      <w:r>
        <w:rPr>
          <w:rFonts w:hint="eastAsia" w:ascii="宋体" w:hAnsi="宋体"/>
          <w:color w:val="auto"/>
          <w:szCs w:val="21"/>
          <w:highlight w:val="none"/>
        </w:rPr>
        <w:t>止，其资格条件发生变化，影响或者可能影响资格条件的，应随响应文件提供更新或者补充的资格证明材料，以证实其各项条件仍能继续满足本章第3.1</w:t>
      </w:r>
      <w:r>
        <w:rPr>
          <w:rFonts w:hint="eastAsia" w:ascii="宋体" w:hAnsi="宋体" w:cs="宋体"/>
          <w:color w:val="auto"/>
          <w:kern w:val="0"/>
          <w:szCs w:val="21"/>
          <w:highlight w:val="none"/>
          <w:lang w:val="zh-CN"/>
        </w:rPr>
        <w:t>款</w:t>
      </w:r>
      <w:r>
        <w:rPr>
          <w:rFonts w:hint="eastAsia" w:ascii="宋体" w:hAnsi="宋体"/>
          <w:color w:val="auto"/>
          <w:szCs w:val="21"/>
          <w:highlight w:val="none"/>
        </w:rPr>
        <w:t>规定的供应商资格条件要求。</w:t>
      </w:r>
    </w:p>
    <w:p>
      <w:pPr>
        <w:adjustRightInd w:val="0"/>
        <w:snapToGrid w:val="0"/>
        <w:spacing w:before="120" w:beforeLines="50" w:line="360" w:lineRule="auto"/>
        <w:ind w:firstLine="420" w:firstLineChars="200"/>
        <w:jc w:val="left"/>
        <w:rPr>
          <w:rFonts w:ascii="宋体" w:hAnsi="宋体"/>
          <w:color w:val="auto"/>
          <w:highlight w:val="none"/>
        </w:rPr>
      </w:pPr>
      <w:r>
        <w:rPr>
          <w:rFonts w:hint="eastAsia" w:ascii="宋体" w:hAnsi="宋体"/>
          <w:color w:val="auto"/>
          <w:szCs w:val="21"/>
          <w:highlight w:val="none"/>
        </w:rPr>
        <w:t>18.2除上</w:t>
      </w:r>
      <w:r>
        <w:rPr>
          <w:rFonts w:hint="eastAsia" w:ascii="宋体" w:hAnsi="宋体" w:cs="宋体"/>
          <w:color w:val="auto"/>
          <w:kern w:val="0"/>
          <w:szCs w:val="21"/>
          <w:highlight w:val="none"/>
          <w:lang w:val="zh-CN"/>
        </w:rPr>
        <w:t>款规定的</w:t>
      </w:r>
      <w:r>
        <w:rPr>
          <w:rFonts w:hint="eastAsia" w:ascii="宋体" w:hAnsi="宋体"/>
          <w:color w:val="auto"/>
          <w:highlight w:val="none"/>
        </w:rPr>
        <w:t>情形外，采购人、采购代理机构不再对供应商进行资格审查。</w:t>
      </w:r>
    </w:p>
    <w:p>
      <w:pPr>
        <w:pStyle w:val="5"/>
        <w:keepNext w:val="0"/>
        <w:keepLines w:val="0"/>
        <w:adjustRightInd w:val="0"/>
        <w:snapToGrid w:val="0"/>
        <w:spacing w:before="50" w:after="0"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19.磋商小组</w:t>
      </w:r>
    </w:p>
    <w:p>
      <w:pPr>
        <w:adjustRightInd w:val="0"/>
        <w:snapToGrid w:val="0"/>
        <w:spacing w:before="120" w:beforeLines="50" w:line="360" w:lineRule="auto"/>
        <w:ind w:firstLine="420"/>
        <w:jc w:val="left"/>
        <w:rPr>
          <w:rFonts w:ascii="宋体" w:hAnsi="宋体"/>
          <w:bCs/>
          <w:color w:val="auto"/>
          <w:szCs w:val="21"/>
          <w:highlight w:val="none"/>
        </w:rPr>
      </w:pPr>
      <w:r>
        <w:rPr>
          <w:rFonts w:hint="eastAsia" w:ascii="宋体" w:hAnsi="宋体"/>
          <w:bCs/>
          <w:color w:val="auto"/>
          <w:szCs w:val="21"/>
          <w:highlight w:val="none"/>
        </w:rPr>
        <w:t>19.1磋商小组由采购人代表和评审专家组成。</w:t>
      </w:r>
    </w:p>
    <w:p>
      <w:pPr>
        <w:adjustRightInd w:val="0"/>
        <w:snapToGrid w:val="0"/>
        <w:spacing w:before="120" w:beforeLines="50" w:line="360" w:lineRule="auto"/>
        <w:ind w:firstLine="420"/>
        <w:jc w:val="left"/>
        <w:rPr>
          <w:rFonts w:ascii="宋体" w:hAnsi="宋体"/>
          <w:color w:val="auto"/>
          <w:szCs w:val="21"/>
          <w:highlight w:val="none"/>
        </w:rPr>
      </w:pPr>
      <w:r>
        <w:rPr>
          <w:rFonts w:hint="eastAsia" w:ascii="宋体" w:hAnsi="宋体"/>
          <w:bCs/>
          <w:color w:val="auto"/>
          <w:szCs w:val="21"/>
          <w:highlight w:val="none"/>
        </w:rPr>
        <w:t>19.2磋商小组</w:t>
      </w:r>
      <w:r>
        <w:rPr>
          <w:rFonts w:ascii="宋体" w:hAnsi="宋体"/>
          <w:color w:val="auto"/>
          <w:szCs w:val="21"/>
          <w:highlight w:val="none"/>
        </w:rPr>
        <w:t>成员有下列情形之一的，应当回避：</w:t>
      </w:r>
    </w:p>
    <w:p>
      <w:pPr>
        <w:adjustRightInd w:val="0"/>
        <w:snapToGrid w:val="0"/>
        <w:spacing w:before="120" w:beforeLines="50" w:line="360" w:lineRule="auto"/>
        <w:ind w:firstLine="420"/>
        <w:jc w:val="left"/>
        <w:rPr>
          <w:rFonts w:ascii="宋体" w:hAnsi="宋体"/>
          <w:color w:val="auto"/>
          <w:szCs w:val="21"/>
          <w:highlight w:val="none"/>
        </w:rPr>
      </w:pPr>
      <w:r>
        <w:rPr>
          <w:rFonts w:ascii="宋体" w:hAnsi="宋体"/>
          <w:color w:val="auto"/>
          <w:szCs w:val="21"/>
          <w:highlight w:val="none"/>
        </w:rPr>
        <w:t>（1）参加采购活动前 3 年内与供应商存在劳动关系</w:t>
      </w:r>
      <w:r>
        <w:rPr>
          <w:rFonts w:hint="eastAsia" w:ascii="宋体" w:hAnsi="宋体"/>
          <w:color w:val="auto"/>
          <w:szCs w:val="21"/>
          <w:highlight w:val="none"/>
        </w:rPr>
        <w:t>；</w:t>
      </w:r>
    </w:p>
    <w:p>
      <w:pPr>
        <w:adjustRightInd w:val="0"/>
        <w:snapToGrid w:val="0"/>
        <w:spacing w:before="120" w:beforeLines="50" w:line="360" w:lineRule="auto"/>
        <w:ind w:firstLine="420"/>
        <w:jc w:val="left"/>
        <w:rPr>
          <w:rFonts w:ascii="宋体" w:hAnsi="宋体"/>
          <w:color w:val="auto"/>
          <w:szCs w:val="21"/>
          <w:highlight w:val="none"/>
        </w:rPr>
      </w:pPr>
      <w:r>
        <w:rPr>
          <w:rFonts w:ascii="宋体" w:hAnsi="宋体"/>
          <w:color w:val="auto"/>
          <w:szCs w:val="21"/>
          <w:highlight w:val="none"/>
        </w:rPr>
        <w:t>（2）参加采购活动前 3 年内担任供应商的董事、监事；</w:t>
      </w:r>
    </w:p>
    <w:p>
      <w:pPr>
        <w:adjustRightInd w:val="0"/>
        <w:snapToGrid w:val="0"/>
        <w:spacing w:before="120" w:beforeLines="50" w:line="360" w:lineRule="auto"/>
        <w:ind w:firstLine="420"/>
        <w:jc w:val="left"/>
        <w:rPr>
          <w:rFonts w:ascii="宋体" w:hAnsi="宋体"/>
          <w:color w:val="auto"/>
          <w:szCs w:val="21"/>
          <w:highlight w:val="none"/>
        </w:rPr>
      </w:pPr>
      <w:r>
        <w:rPr>
          <w:rFonts w:ascii="宋体" w:hAnsi="宋体"/>
          <w:color w:val="auto"/>
          <w:szCs w:val="21"/>
          <w:highlight w:val="none"/>
        </w:rPr>
        <w:t>（3）参加采购活动前 3 年内是供应商的控股股东或者实际控制人；</w:t>
      </w:r>
    </w:p>
    <w:p>
      <w:pPr>
        <w:adjustRightInd w:val="0"/>
        <w:snapToGrid w:val="0"/>
        <w:spacing w:before="120" w:beforeLines="50" w:line="360" w:lineRule="auto"/>
        <w:ind w:firstLine="420"/>
        <w:jc w:val="left"/>
        <w:rPr>
          <w:rFonts w:ascii="宋体" w:hAnsi="宋体"/>
          <w:color w:val="auto"/>
          <w:szCs w:val="21"/>
          <w:highlight w:val="none"/>
        </w:rPr>
      </w:pPr>
      <w:r>
        <w:rPr>
          <w:rFonts w:ascii="宋体" w:hAnsi="宋体"/>
          <w:color w:val="auto"/>
          <w:szCs w:val="21"/>
          <w:highlight w:val="none"/>
        </w:rPr>
        <w:t>（4）与供应商的法定代表人或者负责人有夫妻、直系血亲、三代以内旁系血</w:t>
      </w:r>
      <w:r>
        <w:rPr>
          <w:rFonts w:hint="eastAsia" w:ascii="宋体" w:hAnsi="宋体"/>
          <w:color w:val="auto"/>
          <w:szCs w:val="21"/>
          <w:highlight w:val="none"/>
        </w:rPr>
        <w:br w:type="textWrapping"/>
      </w:r>
      <w:r>
        <w:rPr>
          <w:rFonts w:ascii="宋体" w:hAnsi="宋体"/>
          <w:color w:val="auto"/>
          <w:szCs w:val="21"/>
          <w:highlight w:val="none"/>
        </w:rPr>
        <w:t>亲或者近姻亲关系；</w:t>
      </w:r>
    </w:p>
    <w:p>
      <w:pPr>
        <w:adjustRightInd w:val="0"/>
        <w:snapToGrid w:val="0"/>
        <w:spacing w:before="120" w:beforeLines="50" w:line="360" w:lineRule="auto"/>
        <w:ind w:firstLine="420"/>
        <w:jc w:val="left"/>
        <w:rPr>
          <w:rFonts w:ascii="宋体" w:hAnsi="宋体"/>
          <w:color w:val="auto"/>
          <w:szCs w:val="21"/>
          <w:highlight w:val="none"/>
        </w:rPr>
      </w:pPr>
      <w:r>
        <w:rPr>
          <w:rFonts w:ascii="宋体" w:hAnsi="宋体"/>
          <w:color w:val="auto"/>
          <w:szCs w:val="21"/>
          <w:highlight w:val="none"/>
        </w:rPr>
        <w:t>（5）与供应商有其他可能影响采购活动公平、公正进行的关系。</w:t>
      </w:r>
    </w:p>
    <w:p>
      <w:pPr>
        <w:adjustRightInd w:val="0"/>
        <w:snapToGrid w:val="0"/>
        <w:spacing w:before="120" w:beforeLines="50" w:line="360" w:lineRule="auto"/>
        <w:ind w:firstLine="420"/>
        <w:jc w:val="left"/>
        <w:rPr>
          <w:rFonts w:ascii="宋体" w:hAnsi="宋体"/>
          <w:color w:val="auto"/>
          <w:szCs w:val="21"/>
          <w:highlight w:val="none"/>
        </w:rPr>
      </w:pPr>
      <w:r>
        <w:rPr>
          <w:rFonts w:hint="eastAsia" w:ascii="宋体" w:hAnsi="宋体"/>
          <w:color w:val="auto"/>
          <w:szCs w:val="21"/>
          <w:highlight w:val="none"/>
        </w:rPr>
        <w:t>20</w:t>
      </w:r>
      <w:r>
        <w:rPr>
          <w:rFonts w:ascii="宋体" w:hAnsi="宋体"/>
          <w:color w:val="auto"/>
          <w:szCs w:val="21"/>
          <w:highlight w:val="none"/>
        </w:rPr>
        <w:t>.</w:t>
      </w:r>
      <w:r>
        <w:rPr>
          <w:rFonts w:hint="eastAsia" w:ascii="宋体" w:hAnsi="宋体"/>
          <w:color w:val="auto"/>
          <w:szCs w:val="21"/>
          <w:highlight w:val="none"/>
        </w:rPr>
        <w:t>3磋商小组成员应当按照客观、公正、审慎的原则，根据磋商文件规定的评审程序、评审方法和评审标准进行独立评审。</w:t>
      </w:r>
    </w:p>
    <w:p>
      <w:pPr>
        <w:pStyle w:val="5"/>
        <w:keepNext w:val="0"/>
        <w:keepLines w:val="0"/>
        <w:adjustRightInd w:val="0"/>
        <w:snapToGrid w:val="0"/>
        <w:spacing w:before="50" w:after="0"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20.磋商程序</w:t>
      </w:r>
    </w:p>
    <w:p>
      <w:pPr>
        <w:adjustRightInd w:val="0"/>
        <w:snapToGrid w:val="0"/>
        <w:spacing w:before="120" w:beforeLines="50" w:line="360" w:lineRule="auto"/>
        <w:ind w:firstLine="420"/>
        <w:jc w:val="left"/>
        <w:rPr>
          <w:rFonts w:ascii="宋体" w:hAnsi="宋体"/>
          <w:bCs/>
          <w:color w:val="auto"/>
          <w:szCs w:val="21"/>
          <w:highlight w:val="none"/>
        </w:rPr>
      </w:pPr>
      <w:r>
        <w:rPr>
          <w:rFonts w:hint="eastAsia" w:ascii="宋体" w:hAnsi="宋体" w:cs="宋体"/>
          <w:color w:val="auto"/>
          <w:kern w:val="0"/>
          <w:szCs w:val="21"/>
          <w:highlight w:val="none"/>
        </w:rPr>
        <w:t>20.1</w:t>
      </w:r>
      <w:r>
        <w:rPr>
          <w:rFonts w:hint="eastAsia" w:ascii="宋体" w:hAnsi="宋体"/>
          <w:bCs/>
          <w:color w:val="auto"/>
          <w:szCs w:val="21"/>
          <w:highlight w:val="none"/>
        </w:rPr>
        <w:t>磋商程序：磋商（响应文件审查、澄清）、最后报价、提出成交供应商。其中，磋商按本章第23条进行。</w:t>
      </w:r>
    </w:p>
    <w:p>
      <w:pPr>
        <w:adjustRightInd w:val="0"/>
        <w:snapToGrid w:val="0"/>
        <w:spacing w:before="120" w:beforeLines="50" w:line="360" w:lineRule="auto"/>
        <w:ind w:firstLine="420"/>
        <w:jc w:val="left"/>
        <w:rPr>
          <w:rFonts w:ascii="宋体" w:hAnsi="宋体"/>
          <w:bCs/>
          <w:color w:val="auto"/>
          <w:szCs w:val="21"/>
          <w:highlight w:val="none"/>
        </w:rPr>
      </w:pPr>
      <w:r>
        <w:rPr>
          <w:rFonts w:hint="eastAsia" w:ascii="宋体" w:hAnsi="宋体"/>
          <w:bCs/>
          <w:color w:val="auto"/>
          <w:szCs w:val="21"/>
          <w:highlight w:val="none"/>
        </w:rPr>
        <w:t>20.2磋商小组应当对响应文件进行评审，并根据磋商文件规定的程序、评定成交的标准等事项与实质性响应磋商文件要求的供应商进行磋商。</w:t>
      </w:r>
    </w:p>
    <w:p>
      <w:pPr>
        <w:adjustRightInd w:val="0"/>
        <w:snapToGrid w:val="0"/>
        <w:spacing w:before="120" w:beforeLines="50" w:line="360" w:lineRule="auto"/>
        <w:ind w:firstLine="420"/>
        <w:jc w:val="left"/>
        <w:rPr>
          <w:rFonts w:ascii="宋体" w:hAnsi="宋体"/>
          <w:bCs/>
          <w:color w:val="auto"/>
          <w:szCs w:val="21"/>
          <w:highlight w:val="none"/>
        </w:rPr>
      </w:pPr>
      <w:r>
        <w:rPr>
          <w:rFonts w:hint="eastAsia" w:ascii="宋体" w:hAnsi="宋体"/>
          <w:bCs/>
          <w:color w:val="auto"/>
          <w:szCs w:val="21"/>
          <w:highlight w:val="none"/>
        </w:rPr>
        <w:t>20.3在磋商过程中磋商的任何一方不得向他人透露与磋商有关的技术资料、价格或其他信息。</w:t>
      </w:r>
    </w:p>
    <w:p>
      <w:pPr>
        <w:pStyle w:val="5"/>
        <w:keepNext w:val="0"/>
        <w:keepLines w:val="0"/>
        <w:adjustRightInd w:val="0"/>
        <w:snapToGrid w:val="0"/>
        <w:spacing w:before="50" w:after="0"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21.响应文件审查</w:t>
      </w:r>
    </w:p>
    <w:p>
      <w:pPr>
        <w:adjustRightInd w:val="0"/>
        <w:snapToGrid w:val="0"/>
        <w:spacing w:before="120" w:beforeLines="50"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21.1磋商小组对响应文件(包括首次提交的响应文件、重新提交的响应文件)的有效性、完整性和对磋商文件的响应程度进行审查。</w:t>
      </w:r>
    </w:p>
    <w:p>
      <w:pPr>
        <w:adjustRightInd w:val="0"/>
        <w:snapToGrid w:val="0"/>
        <w:spacing w:before="120" w:beforeLines="50"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21.2响应文件有下列情况之一，响应文件按无效处理，磋商小组应当告知有关供应商。</w:t>
      </w:r>
    </w:p>
    <w:p>
      <w:pPr>
        <w:adjustRightInd w:val="0"/>
        <w:snapToGrid w:val="0"/>
        <w:spacing w:before="120" w:beforeLines="50" w:line="360" w:lineRule="auto"/>
        <w:ind w:firstLine="420" w:firstLineChars="200"/>
        <w:rPr>
          <w:rFonts w:ascii="宋体" w:hAnsi="宋体"/>
          <w:bCs/>
          <w:color w:val="auto"/>
          <w:szCs w:val="21"/>
          <w:highlight w:val="none"/>
        </w:rPr>
      </w:pPr>
      <w:r>
        <w:rPr>
          <w:rFonts w:hint="eastAsia" w:ascii="宋体" w:hAnsi="宋体" w:cs="宋体"/>
          <w:color w:val="auto"/>
          <w:kern w:val="0"/>
          <w:szCs w:val="21"/>
          <w:highlight w:val="none"/>
        </w:rPr>
        <w:t>（1）</w:t>
      </w:r>
      <w:r>
        <w:rPr>
          <w:rFonts w:hint="eastAsia" w:ascii="宋体" w:hAnsi="宋体"/>
          <w:color w:val="auto"/>
          <w:szCs w:val="21"/>
          <w:highlight w:val="none"/>
        </w:rPr>
        <w:t>应交未交保证金或金额不足、保证金形式不符合磋商文件要求的；</w:t>
      </w:r>
    </w:p>
    <w:p>
      <w:pPr>
        <w:tabs>
          <w:tab w:val="left" w:pos="735"/>
          <w:tab w:val="left" w:pos="7560"/>
          <w:tab w:val="left" w:pos="7740"/>
          <w:tab w:val="left" w:pos="7920"/>
        </w:tabs>
        <w:adjustRightInd w:val="0"/>
        <w:snapToGrid w:val="0"/>
        <w:spacing w:before="120" w:beforeLines="50" w:line="360" w:lineRule="auto"/>
        <w:ind w:right="300" w:rightChars="143" w:firstLine="420" w:firstLineChars="200"/>
        <w:rPr>
          <w:rFonts w:ascii="宋体" w:hAnsi="宋体"/>
          <w:color w:val="auto"/>
          <w:szCs w:val="21"/>
          <w:highlight w:val="none"/>
        </w:rPr>
      </w:pPr>
      <w:r>
        <w:rPr>
          <w:rFonts w:hint="eastAsia" w:ascii="宋体" w:hAnsi="宋体" w:cs="宋体"/>
          <w:color w:val="auto"/>
          <w:kern w:val="0"/>
          <w:szCs w:val="21"/>
          <w:highlight w:val="none"/>
        </w:rPr>
        <w:t>（2）</w:t>
      </w:r>
      <w:r>
        <w:rPr>
          <w:rFonts w:hint="eastAsia" w:ascii="宋体" w:hAnsi="宋体"/>
          <w:color w:val="auto"/>
          <w:szCs w:val="21"/>
          <w:highlight w:val="none"/>
        </w:rPr>
        <w:t>未按照磋商文件规定要求签署、盖章的；</w:t>
      </w:r>
    </w:p>
    <w:p>
      <w:pPr>
        <w:tabs>
          <w:tab w:val="left" w:pos="735"/>
          <w:tab w:val="left" w:pos="7560"/>
          <w:tab w:val="left" w:pos="7740"/>
          <w:tab w:val="left" w:pos="7920"/>
        </w:tabs>
        <w:adjustRightInd w:val="0"/>
        <w:snapToGrid w:val="0"/>
        <w:spacing w:before="120" w:beforeLines="50" w:line="360" w:lineRule="auto"/>
        <w:ind w:right="300" w:rightChars="143" w:firstLine="420" w:firstLineChars="200"/>
        <w:rPr>
          <w:rFonts w:ascii="宋体" w:hAnsi="宋体"/>
          <w:color w:val="auto"/>
          <w:szCs w:val="21"/>
          <w:highlight w:val="none"/>
        </w:rPr>
      </w:pPr>
      <w:r>
        <w:rPr>
          <w:rFonts w:hint="eastAsia" w:ascii="宋体" w:hAnsi="宋体"/>
          <w:color w:val="auto"/>
          <w:szCs w:val="21"/>
          <w:highlight w:val="none"/>
        </w:rPr>
        <w:t>（3）不满足磋商文件规定的实质性要求和条件的；</w:t>
      </w:r>
    </w:p>
    <w:p>
      <w:pPr>
        <w:tabs>
          <w:tab w:val="left" w:pos="735"/>
          <w:tab w:val="left" w:pos="7560"/>
          <w:tab w:val="left" w:pos="7740"/>
          <w:tab w:val="left" w:pos="7920"/>
        </w:tabs>
        <w:adjustRightInd w:val="0"/>
        <w:snapToGrid w:val="0"/>
        <w:spacing w:before="120" w:beforeLines="50" w:line="360" w:lineRule="auto"/>
        <w:ind w:right="300" w:rightChars="143" w:firstLine="420" w:firstLineChars="200"/>
        <w:rPr>
          <w:rFonts w:ascii="宋体" w:hAnsi="宋体"/>
          <w:color w:val="auto"/>
          <w:szCs w:val="21"/>
          <w:highlight w:val="none"/>
        </w:rPr>
      </w:pPr>
      <w:r>
        <w:rPr>
          <w:rFonts w:hint="eastAsia" w:ascii="宋体" w:hAnsi="宋体"/>
          <w:color w:val="auto"/>
          <w:szCs w:val="21"/>
          <w:highlight w:val="none"/>
        </w:rPr>
        <w:t>（4）法律、法规和磋商文件规定的其他响应无效情形。</w:t>
      </w:r>
    </w:p>
    <w:p>
      <w:pPr>
        <w:tabs>
          <w:tab w:val="left" w:pos="735"/>
          <w:tab w:val="left" w:pos="7560"/>
          <w:tab w:val="left" w:pos="7740"/>
          <w:tab w:val="left" w:pos="7920"/>
        </w:tabs>
        <w:adjustRightInd w:val="0"/>
        <w:snapToGrid w:val="0"/>
        <w:spacing w:before="120" w:beforeLines="50" w:line="360" w:lineRule="auto"/>
        <w:ind w:right="300" w:rightChars="143" w:firstLine="420" w:firstLineChars="200"/>
        <w:rPr>
          <w:rFonts w:ascii="宋体" w:hAnsi="宋体"/>
          <w:color w:val="auto"/>
          <w:szCs w:val="21"/>
          <w:highlight w:val="none"/>
        </w:rPr>
      </w:pPr>
      <w:r>
        <w:rPr>
          <w:rFonts w:hint="eastAsia" w:ascii="宋体" w:hAnsi="宋体" w:cs="宋体"/>
          <w:color w:val="auto"/>
          <w:kern w:val="0"/>
          <w:szCs w:val="21"/>
          <w:highlight w:val="none"/>
        </w:rPr>
        <w:t>21.3响应文件按无效处理的，磋商小组应拒绝其参与磋商，但属于磋商文件规定的实质性变动内容的除外。</w:t>
      </w:r>
    </w:p>
    <w:p>
      <w:pPr>
        <w:adjustRightInd w:val="0"/>
        <w:snapToGrid w:val="0"/>
        <w:spacing w:before="120" w:beforeLines="50"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21.4磋商文件规定的实质性要求和条件见【</w:t>
      </w:r>
      <w:r>
        <w:rPr>
          <w:rFonts w:hint="eastAsia" w:ascii="宋体" w:hAnsi="宋体" w:cs="宋体"/>
          <w:b/>
          <w:color w:val="auto"/>
          <w:kern w:val="0"/>
          <w:szCs w:val="21"/>
          <w:highlight w:val="none"/>
        </w:rPr>
        <w:t>磋商须知前附表</w:t>
      </w:r>
      <w:r>
        <w:rPr>
          <w:rFonts w:hint="eastAsia" w:ascii="宋体" w:hAnsi="宋体" w:cs="宋体"/>
          <w:color w:val="auto"/>
          <w:kern w:val="0"/>
          <w:szCs w:val="21"/>
          <w:highlight w:val="none"/>
        </w:rPr>
        <w:t>】。</w:t>
      </w:r>
    </w:p>
    <w:p>
      <w:pPr>
        <w:pStyle w:val="5"/>
        <w:keepNext w:val="0"/>
        <w:keepLines w:val="0"/>
        <w:adjustRightInd w:val="0"/>
        <w:snapToGrid w:val="0"/>
        <w:spacing w:before="50" w:after="0"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22.澄清</w:t>
      </w:r>
    </w:p>
    <w:p>
      <w:pPr>
        <w:adjustRightInd w:val="0"/>
        <w:snapToGrid w:val="0"/>
        <w:spacing w:before="120" w:beforeLines="50"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22.1磋商小组在对响应文件(包括</w:t>
      </w:r>
      <w:r>
        <w:rPr>
          <w:rFonts w:hint="eastAsia" w:ascii="宋体" w:hAnsi="宋体" w:cs="宋体"/>
          <w:color w:val="auto"/>
          <w:kern w:val="0"/>
          <w:highlight w:val="none"/>
        </w:rPr>
        <w:t>首次提交的</w:t>
      </w:r>
      <w:r>
        <w:rPr>
          <w:rFonts w:hint="eastAsia" w:ascii="宋体" w:hAnsi="宋体" w:cs="宋体"/>
          <w:color w:val="auto"/>
          <w:kern w:val="0"/>
          <w:szCs w:val="21"/>
          <w:highlight w:val="none"/>
        </w:rPr>
        <w:t>响应文件、重新提交的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供应商代表签字，供应商的澄清、说明或者更正不得超出磋商文件的范围或者改变响应文件的实质性内容。</w:t>
      </w:r>
    </w:p>
    <w:p>
      <w:pPr>
        <w:pStyle w:val="5"/>
        <w:keepNext w:val="0"/>
        <w:keepLines w:val="0"/>
        <w:adjustRightInd w:val="0"/>
        <w:snapToGrid w:val="0"/>
        <w:spacing w:before="50" w:after="0"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23.磋商的规定</w:t>
      </w:r>
    </w:p>
    <w:p>
      <w:pPr>
        <w:adjustRightInd w:val="0"/>
        <w:snapToGrid w:val="0"/>
        <w:spacing w:before="120" w:beforeLines="50" w:line="360" w:lineRule="auto"/>
        <w:ind w:firstLine="420"/>
        <w:jc w:val="left"/>
        <w:rPr>
          <w:rFonts w:ascii="宋体" w:hAnsi="宋体" w:cs="宋体"/>
          <w:color w:val="auto"/>
          <w:kern w:val="0"/>
          <w:szCs w:val="21"/>
          <w:highlight w:val="none"/>
        </w:rPr>
      </w:pPr>
      <w:r>
        <w:rPr>
          <w:rFonts w:hint="eastAsia" w:ascii="宋体" w:hAnsi="宋体"/>
          <w:bCs/>
          <w:color w:val="auto"/>
          <w:szCs w:val="21"/>
          <w:highlight w:val="none"/>
        </w:rPr>
        <w:t>23.1</w:t>
      </w:r>
      <w:r>
        <w:rPr>
          <w:rFonts w:hint="eastAsia" w:ascii="宋体" w:hAnsi="宋体" w:cs="宋体"/>
          <w:color w:val="auto"/>
          <w:kern w:val="0"/>
          <w:szCs w:val="21"/>
          <w:highlight w:val="none"/>
        </w:rPr>
        <w:t>在磋商过程中，磋商小组所有成员集中与单一供应商分别进行磋商，并给予所有参加磋商的供应商平等的磋商机会。供应商应派其代表参加磋商。</w:t>
      </w:r>
    </w:p>
    <w:p>
      <w:pPr>
        <w:adjustRightInd w:val="0"/>
        <w:snapToGrid w:val="0"/>
        <w:spacing w:before="120" w:beforeLines="50" w:line="360" w:lineRule="auto"/>
        <w:ind w:firstLine="420"/>
        <w:jc w:val="left"/>
        <w:rPr>
          <w:rFonts w:ascii="宋体" w:hAnsi="宋体" w:cs="宋体"/>
          <w:color w:val="auto"/>
          <w:kern w:val="0"/>
          <w:szCs w:val="21"/>
          <w:highlight w:val="none"/>
        </w:rPr>
      </w:pPr>
      <w:r>
        <w:rPr>
          <w:rFonts w:hint="eastAsia" w:ascii="宋体" w:hAnsi="宋体"/>
          <w:bCs/>
          <w:color w:val="auto"/>
          <w:szCs w:val="21"/>
          <w:highlight w:val="none"/>
        </w:rPr>
        <w:t>23.2</w:t>
      </w:r>
      <w:r>
        <w:rPr>
          <w:rFonts w:hint="eastAsia" w:ascii="宋体" w:hAnsi="宋体" w:cs="宋体"/>
          <w:color w:val="auto"/>
          <w:kern w:val="0"/>
          <w:szCs w:val="21"/>
          <w:highlight w:val="none"/>
        </w:rPr>
        <w:t>在磋商过程中，磋商小组可以根据磋商文件和磋商情况实质性变动技术标准及要求中的技术、服务要求以及合同草案条款，但不得变动磋商文件中的其他内容。实质性变动的内容，须经采购人代表确认，磋商小组将以书面形式将修改内容同时通知所有参加磋商的供应商。</w:t>
      </w:r>
    </w:p>
    <w:p>
      <w:pPr>
        <w:adjustRightInd w:val="0"/>
        <w:snapToGrid w:val="0"/>
        <w:spacing w:before="120" w:beforeLines="50" w:line="360" w:lineRule="auto"/>
        <w:ind w:firstLine="42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3</w:t>
      </w:r>
      <w:r>
        <w:rPr>
          <w:rFonts w:ascii="宋体" w:hAnsi="宋体" w:cs="宋体"/>
          <w:color w:val="auto"/>
          <w:kern w:val="0"/>
          <w:szCs w:val="21"/>
          <w:highlight w:val="none"/>
        </w:rPr>
        <w:t>.</w:t>
      </w:r>
      <w:r>
        <w:rPr>
          <w:rFonts w:hint="eastAsia" w:ascii="宋体" w:hAnsi="宋体" w:cs="宋体"/>
          <w:color w:val="auto"/>
          <w:kern w:val="0"/>
          <w:szCs w:val="21"/>
          <w:highlight w:val="none"/>
        </w:rPr>
        <w:t>3每轮磋商中，参加磋商的供应商代表应认真、准确、完整地记录磋商小组提出的问题和要求。重新提交的响应文件应当对磋商小组书面通知提出的要求和条件作出明确响应，并由供应商代表签字或者加盖供应商单位公章。</w:t>
      </w:r>
    </w:p>
    <w:p>
      <w:pPr>
        <w:pStyle w:val="5"/>
        <w:adjustRightInd w:val="0"/>
        <w:snapToGrid w:val="0"/>
        <w:spacing w:before="50" w:after="0" w:line="360" w:lineRule="auto"/>
        <w:rPr>
          <w:rFonts w:ascii="宋体" w:hAnsi="宋体" w:eastAsia="宋体" w:cs="宋体"/>
          <w:color w:val="auto"/>
          <w:kern w:val="0"/>
          <w:sz w:val="24"/>
          <w:szCs w:val="24"/>
          <w:highlight w:val="none"/>
        </w:rPr>
      </w:pPr>
      <w:r>
        <w:rPr>
          <w:rFonts w:hint="eastAsia" w:ascii="宋体" w:hAnsi="宋体" w:eastAsia="宋体"/>
          <w:color w:val="auto"/>
          <w:sz w:val="24"/>
          <w:szCs w:val="24"/>
          <w:highlight w:val="none"/>
        </w:rPr>
        <w:t>24.退出磋商</w:t>
      </w:r>
    </w:p>
    <w:p>
      <w:pPr>
        <w:adjustRightInd w:val="0"/>
        <w:snapToGrid w:val="0"/>
        <w:spacing w:before="120" w:beforeLines="50"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24.1供应商在提交最后报价之前，可以根据磋商情况退出磋商，</w:t>
      </w:r>
      <w:r>
        <w:rPr>
          <w:rFonts w:hint="eastAsia" w:ascii="宋体" w:hAnsi="宋体" w:cs="宋体"/>
          <w:color w:val="auto"/>
          <w:kern w:val="0"/>
          <w:highlight w:val="none"/>
        </w:rPr>
        <w:t>并书面通知采购人、采购代理机构或者磋商小组。</w:t>
      </w:r>
      <w:r>
        <w:rPr>
          <w:rFonts w:hint="eastAsia" w:ascii="宋体" w:hAnsi="宋体"/>
          <w:color w:val="auto"/>
          <w:highlight w:val="none"/>
        </w:rPr>
        <w:t>该通知由供应商代表签字。采购人、</w:t>
      </w:r>
      <w:r>
        <w:rPr>
          <w:rFonts w:hint="eastAsia" w:ascii="宋体" w:hAnsi="宋体" w:cs="宋体"/>
          <w:color w:val="auto"/>
          <w:kern w:val="0"/>
          <w:szCs w:val="21"/>
          <w:highlight w:val="none"/>
        </w:rPr>
        <w:t>采购代理机构</w:t>
      </w:r>
      <w:r>
        <w:rPr>
          <w:rFonts w:hint="eastAsia" w:ascii="宋体" w:hAnsi="宋体" w:cs="宋体"/>
          <w:color w:val="auto"/>
          <w:kern w:val="0"/>
          <w:highlight w:val="none"/>
        </w:rPr>
        <w:t>按</w:t>
      </w:r>
      <w:r>
        <w:rPr>
          <w:rFonts w:hint="eastAsia" w:ascii="宋体" w:hAnsi="宋体" w:cs="宋体"/>
          <w:color w:val="auto"/>
          <w:kern w:val="0"/>
          <w:szCs w:val="21"/>
          <w:highlight w:val="none"/>
        </w:rPr>
        <w:t>本章第</w:t>
      </w:r>
      <w:r>
        <w:rPr>
          <w:rFonts w:hint="eastAsia" w:ascii="宋体" w:hAnsi="宋体"/>
          <w:color w:val="auto"/>
          <w:highlight w:val="none"/>
        </w:rPr>
        <w:t>11.4</w:t>
      </w:r>
      <w:r>
        <w:rPr>
          <w:rFonts w:hint="eastAsia" w:ascii="宋体" w:hAnsi="宋体" w:cs="宋体"/>
          <w:color w:val="auto"/>
          <w:kern w:val="0"/>
          <w:szCs w:val="21"/>
          <w:highlight w:val="none"/>
          <w:lang w:val="zh-CN"/>
        </w:rPr>
        <w:t>款</w:t>
      </w:r>
      <w:r>
        <w:rPr>
          <w:rFonts w:hint="eastAsia" w:ascii="宋体" w:hAnsi="宋体"/>
          <w:color w:val="auto"/>
          <w:highlight w:val="none"/>
        </w:rPr>
        <w:t>规定</w:t>
      </w:r>
      <w:r>
        <w:rPr>
          <w:rFonts w:hint="eastAsia" w:ascii="宋体" w:hAnsi="宋体" w:cs="宋体"/>
          <w:color w:val="auto"/>
          <w:kern w:val="0"/>
          <w:szCs w:val="21"/>
          <w:highlight w:val="none"/>
        </w:rPr>
        <w:t>退还退出磋商的供应商的保证金。</w:t>
      </w:r>
    </w:p>
    <w:p>
      <w:pPr>
        <w:adjustRightInd w:val="0"/>
        <w:snapToGrid w:val="0"/>
        <w:spacing w:before="120" w:beforeLines="50"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24.2供应商参与磋商，但未提交最后报价又未按前款规定退出磋商的，保证金不予退还。</w:t>
      </w:r>
    </w:p>
    <w:p>
      <w:pPr>
        <w:pStyle w:val="5"/>
        <w:keepNext w:val="0"/>
        <w:keepLines w:val="0"/>
        <w:adjustRightInd w:val="0"/>
        <w:snapToGrid w:val="0"/>
        <w:spacing w:before="50" w:after="0"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25.最后报价</w:t>
      </w:r>
    </w:p>
    <w:p>
      <w:pPr>
        <w:widowControl/>
        <w:adjustRightInd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25.1磋商结束后，磋商小组按本章第21.2款规定对响应文件或重新提交的响应文件进行审查。响应文件不符合磋商文件规定的实质性要求和条件的，磋商小组不得要求供应商提交最后报价，也不得接受供应商提交的最后报价。符合磋商文件规定的实质性要求和条件的供应商不少于3家的，磋商小组应当要求符合磋商文件规定的实质性要求和条件的供应商在规定时间内提交最后报价。最后报价应由供应商代表签字或者加盖供应商单位公章。</w:t>
      </w:r>
    </w:p>
    <w:p>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（1）磋商文件能够详细列明采购需求的技术、服务要求的，磋商结束后，磋商小组应当要求所有供应商在规定时间内提交最后报价。</w:t>
      </w:r>
    </w:p>
    <w:p>
      <w:pPr>
        <w:widowControl/>
        <w:adjustRightInd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2）磋商文件不能详细列明采购需求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widowControl/>
        <w:adjustRightInd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25.2下列情形，磋商小组确认符合磋商文件规定的实质性要求和条件的供应商不少于3家，可以不与供应商磋商，直接要求符合磋商文件规定的实质性要求和条件的供应商提交最后报价。</w:t>
      </w:r>
    </w:p>
    <w:p>
      <w:pPr>
        <w:widowControl/>
        <w:adjustRightInd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（1）磋商文件未明确可能实质性变动的；</w:t>
      </w:r>
    </w:p>
    <w:p>
      <w:pPr>
        <w:widowControl/>
        <w:adjustRightInd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（2）磋商文件明确可能实质性变动，但磋商小组对供应商提交的首次响应文件的有效性、完整性和响应程度进行审查后，认为磋商文件不需发生实质性变动、不需要磋商的。</w:t>
      </w:r>
    </w:p>
    <w:p>
      <w:pPr>
        <w:widowControl/>
        <w:adjustRightInd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25.3磋商小组应召集所有提交最后报价的供应商，逐一</w:t>
      </w:r>
      <w:r>
        <w:rPr>
          <w:rFonts w:hint="eastAsia" w:ascii="宋体" w:hAnsi="宋体"/>
          <w:bCs/>
          <w:color w:val="auto"/>
          <w:szCs w:val="21"/>
          <w:highlight w:val="none"/>
        </w:rPr>
        <w:t>公布</w:t>
      </w:r>
      <w:r>
        <w:rPr>
          <w:rFonts w:hint="eastAsia" w:ascii="宋体" w:hAnsi="宋体" w:cs="宋体"/>
          <w:color w:val="auto"/>
          <w:kern w:val="0"/>
          <w:szCs w:val="21"/>
          <w:highlight w:val="none"/>
          <w:lang w:val="zh-CN"/>
        </w:rPr>
        <w:t>供应商的</w:t>
      </w:r>
      <w:r>
        <w:rPr>
          <w:rFonts w:hint="eastAsia" w:ascii="宋体" w:hAnsi="宋体"/>
          <w:bCs/>
          <w:color w:val="auto"/>
          <w:szCs w:val="21"/>
          <w:highlight w:val="none"/>
        </w:rPr>
        <w:t>最</w:t>
      </w:r>
      <w:r>
        <w:rPr>
          <w:rFonts w:hint="eastAsia" w:ascii="宋体" w:hAnsi="宋体" w:cs="宋体"/>
          <w:color w:val="auto"/>
          <w:kern w:val="0"/>
          <w:szCs w:val="21"/>
          <w:highlight w:val="none"/>
          <w:lang w:val="zh-CN"/>
        </w:rPr>
        <w:t>后</w:t>
      </w:r>
      <w:r>
        <w:rPr>
          <w:rFonts w:hint="eastAsia" w:ascii="宋体" w:hAnsi="宋体"/>
          <w:bCs/>
          <w:color w:val="auto"/>
          <w:szCs w:val="21"/>
          <w:highlight w:val="none"/>
        </w:rPr>
        <w:t>报价</w:t>
      </w:r>
      <w:r>
        <w:rPr>
          <w:rFonts w:hint="eastAsia" w:ascii="宋体" w:hAnsi="宋体" w:cs="宋体"/>
          <w:color w:val="auto"/>
          <w:kern w:val="0"/>
          <w:szCs w:val="21"/>
          <w:highlight w:val="none"/>
        </w:rPr>
        <w:t>，由采购人、采购代理机构负责记录，并由供应商代表签字确认后随采购文件一并存档。</w:t>
      </w:r>
    </w:p>
    <w:p>
      <w:pPr>
        <w:pStyle w:val="5"/>
        <w:adjustRightInd w:val="0"/>
        <w:snapToGrid w:val="0"/>
        <w:spacing w:before="50" w:after="0" w:line="360" w:lineRule="auto"/>
        <w:rPr>
          <w:rFonts w:ascii="宋体" w:hAnsi="宋体" w:eastAsia="宋体" w:cs="宋体"/>
          <w:color w:val="auto"/>
          <w:kern w:val="0"/>
          <w:sz w:val="24"/>
          <w:szCs w:val="24"/>
          <w:highlight w:val="none"/>
        </w:rPr>
      </w:pPr>
      <w:r>
        <w:rPr>
          <w:rFonts w:hint="eastAsia" w:ascii="宋体" w:hAnsi="宋体" w:eastAsia="宋体"/>
          <w:color w:val="auto"/>
          <w:sz w:val="24"/>
          <w:szCs w:val="24"/>
          <w:highlight w:val="none"/>
        </w:rPr>
        <w:t>26.不合理报价</w:t>
      </w:r>
    </w:p>
    <w:p>
      <w:pPr>
        <w:adjustRightInd w:val="0"/>
        <w:snapToGrid w:val="0"/>
        <w:spacing w:before="120" w:beforeLines="50" w:line="360" w:lineRule="auto"/>
        <w:ind w:firstLine="420" w:firstLineChars="200"/>
        <w:jc w:val="left"/>
        <w:rPr>
          <w:rFonts w:ascii="宋体" w:hAnsi="宋体" w:cs="宋体"/>
          <w:color w:val="auto"/>
          <w:kern w:val="0"/>
          <w:szCs w:val="21"/>
          <w:highlight w:val="none"/>
        </w:rPr>
      </w:pPr>
      <w:r>
        <w:rPr>
          <w:rFonts w:hint="eastAsia" w:ascii="宋体" w:hAnsi="宋体"/>
          <w:bCs/>
          <w:color w:val="auto"/>
          <w:szCs w:val="21"/>
          <w:highlight w:val="none"/>
        </w:rPr>
        <w:t>26．1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响应无效处理。</w:t>
      </w:r>
    </w:p>
    <w:p>
      <w:pPr>
        <w:pStyle w:val="5"/>
        <w:keepNext w:val="0"/>
        <w:keepLines w:val="0"/>
        <w:adjustRightInd w:val="0"/>
        <w:snapToGrid w:val="0"/>
        <w:spacing w:before="50" w:after="0" w:line="360" w:lineRule="auto"/>
        <w:rPr>
          <w:rFonts w:ascii="宋体" w:hAnsi="宋体" w:eastAsia="宋体"/>
          <w:color w:val="auto"/>
          <w:sz w:val="24"/>
          <w:szCs w:val="24"/>
          <w:highlight w:val="none"/>
        </w:rPr>
      </w:pPr>
      <w:r>
        <w:rPr>
          <w:rFonts w:hint="eastAsia" w:ascii="宋体" w:hAnsi="宋体" w:eastAsia="宋体" w:cs="宋体"/>
          <w:color w:val="auto"/>
          <w:kern w:val="0"/>
          <w:sz w:val="24"/>
          <w:szCs w:val="24"/>
          <w:highlight w:val="none"/>
        </w:rPr>
        <w:t>27.</w:t>
      </w:r>
      <w:r>
        <w:rPr>
          <w:rFonts w:hint="eastAsia" w:ascii="宋体" w:hAnsi="宋体" w:eastAsia="宋体"/>
          <w:color w:val="auto"/>
          <w:sz w:val="24"/>
          <w:szCs w:val="24"/>
          <w:highlight w:val="none"/>
        </w:rPr>
        <w:t>提出成交供应商</w:t>
      </w:r>
    </w:p>
    <w:p>
      <w:pPr>
        <w:adjustRightInd w:val="0"/>
        <w:snapToGrid w:val="0"/>
        <w:spacing w:before="120" w:beforeLines="50"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27.1磋商小组应当从质量和服务均能满足采购文件实质性响应要求的供应商中，按照最后报价由低到高的顺序提出3名以上成交候选人，并编写评审报告。</w:t>
      </w:r>
    </w:p>
    <w:p>
      <w:pPr>
        <w:adjustRightInd w:val="0"/>
        <w:snapToGrid w:val="0"/>
        <w:spacing w:before="120" w:beforeLines="50" w:line="360" w:lineRule="auto"/>
        <w:ind w:firstLine="420"/>
        <w:jc w:val="left"/>
        <w:rPr>
          <w:rFonts w:ascii="宋体" w:hAnsi="宋体"/>
          <w:bCs/>
          <w:color w:val="auto"/>
          <w:szCs w:val="21"/>
          <w:highlight w:val="none"/>
        </w:rPr>
      </w:pPr>
      <w:r>
        <w:rPr>
          <w:rFonts w:hint="eastAsia" w:ascii="宋体" w:hAnsi="宋体" w:cs="宋体"/>
          <w:color w:val="auto"/>
          <w:kern w:val="0"/>
          <w:szCs w:val="21"/>
          <w:highlight w:val="none"/>
        </w:rPr>
        <w:t>供应商最后报价涉及算术修正，按上款规定由低到高的顺序排序。</w:t>
      </w:r>
      <w:r>
        <w:rPr>
          <w:rFonts w:hint="eastAsia" w:ascii="宋体" w:hAnsi="宋体"/>
          <w:color w:val="auto"/>
          <w:szCs w:val="21"/>
          <w:highlight w:val="none"/>
        </w:rPr>
        <w:t>最后报价排序</w:t>
      </w:r>
      <w:r>
        <w:rPr>
          <w:rFonts w:ascii="宋体" w:hAnsi="宋体"/>
          <w:color w:val="auto"/>
          <w:szCs w:val="21"/>
          <w:highlight w:val="none"/>
        </w:rPr>
        <w:t>相同的</w:t>
      </w:r>
      <w:r>
        <w:rPr>
          <w:rFonts w:hint="eastAsia" w:ascii="宋体" w:hAnsi="宋体"/>
          <w:color w:val="auto"/>
          <w:szCs w:val="21"/>
          <w:highlight w:val="none"/>
        </w:rPr>
        <w:t>并列</w:t>
      </w:r>
      <w:r>
        <w:rPr>
          <w:rFonts w:hint="eastAsia" w:ascii="宋体" w:hAnsi="宋体"/>
          <w:bCs/>
          <w:color w:val="auto"/>
          <w:szCs w:val="21"/>
          <w:highlight w:val="none"/>
        </w:rPr>
        <w:t>。</w:t>
      </w:r>
    </w:p>
    <w:p>
      <w:pPr>
        <w:adjustRightInd w:val="0"/>
        <w:snapToGrid w:val="0"/>
        <w:spacing w:before="120" w:beforeLines="50" w:line="360" w:lineRule="auto"/>
        <w:ind w:firstLine="420"/>
        <w:jc w:val="left"/>
        <w:rPr>
          <w:rFonts w:ascii="宋体" w:hAnsi="宋体" w:cs="宋体"/>
          <w:color w:val="auto"/>
          <w:kern w:val="0"/>
          <w:szCs w:val="21"/>
          <w:highlight w:val="none"/>
        </w:rPr>
      </w:pPr>
      <w:r>
        <w:rPr>
          <w:rFonts w:hint="eastAsia" w:ascii="宋体" w:hAnsi="宋体"/>
          <w:bCs/>
          <w:color w:val="auto"/>
          <w:szCs w:val="21"/>
          <w:highlight w:val="none"/>
        </w:rPr>
        <w:t>27.2</w:t>
      </w:r>
      <w:r>
        <w:rPr>
          <w:rFonts w:hint="eastAsia" w:ascii="宋体" w:hAnsi="宋体" w:cs="宋体"/>
          <w:color w:val="auto"/>
          <w:kern w:val="0"/>
          <w:szCs w:val="21"/>
          <w:highlight w:val="none"/>
        </w:rPr>
        <w:t>最后报价有算术错误的，除</w:t>
      </w:r>
      <w:r>
        <w:rPr>
          <w:rFonts w:hint="eastAsia" w:ascii="宋体" w:hAnsi="宋体"/>
          <w:b/>
          <w:color w:val="auto"/>
          <w:szCs w:val="21"/>
          <w:highlight w:val="none"/>
        </w:rPr>
        <w:t>【磋商须知前附表】</w:t>
      </w:r>
      <w:r>
        <w:rPr>
          <w:rFonts w:hint="eastAsia" w:ascii="宋体" w:hAnsi="宋体" w:cs="宋体"/>
          <w:color w:val="auto"/>
          <w:kern w:val="0"/>
          <w:szCs w:val="21"/>
          <w:highlight w:val="none"/>
        </w:rPr>
        <w:t>另有规定外，磋商小组按以下原则对报价进行修正，修正的价格经供应商书面确认，并由供应商代表签字或者加盖单位公章确认后产生约束力，供应商不接受修正价格的，其报价作无效报价处理。</w:t>
      </w:r>
    </w:p>
    <w:p>
      <w:pPr>
        <w:adjustRightInd w:val="0"/>
        <w:snapToGrid w:val="0"/>
        <w:spacing w:before="120" w:beforeLines="50"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（1）大写金额与小写金额不一致的，以大写金额为准。</w:t>
      </w:r>
    </w:p>
    <w:p>
      <w:pPr>
        <w:adjustRightInd w:val="0"/>
        <w:snapToGrid w:val="0"/>
        <w:spacing w:before="120"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（2）总价金额与按单价汇总金额不一致的，以单价金额计算结果为准。</w:t>
      </w:r>
    </w:p>
    <w:p>
      <w:pPr>
        <w:adjustRightInd w:val="0"/>
        <w:snapToGrid w:val="0"/>
        <w:spacing w:before="120"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修正后的报价由供应商代表签字或者加盖单位公章确认后产生约束力，不确认的，其报价无效。</w:t>
      </w:r>
    </w:p>
    <w:p>
      <w:pPr>
        <w:adjustRightInd w:val="0"/>
        <w:snapToGrid w:val="0"/>
        <w:spacing w:before="120" w:beforeLines="50"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27.3最后报价的评审</w:t>
      </w:r>
    </w:p>
    <w:p>
      <w:pPr>
        <w:adjustRightInd w:val="0"/>
        <w:snapToGrid w:val="0"/>
        <w:spacing w:before="120" w:beforeLines="50"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（1）如果有算术错误，最后报价将按上款规定进行算术修正。</w:t>
      </w:r>
    </w:p>
    <w:p>
      <w:pPr>
        <w:pStyle w:val="5"/>
        <w:keepNext w:val="0"/>
        <w:keepLines w:val="0"/>
        <w:adjustRightInd w:val="0"/>
        <w:snapToGrid w:val="0"/>
        <w:spacing w:before="50" w:after="0"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28.确定成交供应商</w:t>
      </w:r>
    </w:p>
    <w:p>
      <w:pPr>
        <w:adjustRightInd w:val="0"/>
        <w:snapToGrid w:val="0"/>
        <w:spacing w:before="120" w:beforeLines="5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28.1采购代理机构应当在评审结束后2个工作日内将评审报告送采购人确认。</w:t>
      </w:r>
    </w:p>
    <w:p>
      <w:pPr>
        <w:adjustRightInd w:val="0"/>
        <w:snapToGrid w:val="0"/>
        <w:spacing w:before="120" w:beforeLines="50"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28.2采购人应当在收到评审报告后5个工作日内，从评审报告提出的成交候选人中，根据质量和服务均能满足采购文件实质性响应要求且最后报价最低的原则确定成交供应商，也可以书面授权磋商小组直接确定成交供应商。</w:t>
      </w:r>
    </w:p>
    <w:p>
      <w:pPr>
        <w:adjustRightInd w:val="0"/>
        <w:snapToGrid w:val="0"/>
        <w:spacing w:before="120" w:beforeLines="50" w:line="360" w:lineRule="auto"/>
        <w:ind w:firstLine="420"/>
        <w:jc w:val="left"/>
        <w:rPr>
          <w:rFonts w:ascii="宋体" w:hAnsi="宋体"/>
          <w:bCs/>
          <w:color w:val="auto"/>
          <w:szCs w:val="21"/>
          <w:highlight w:val="none"/>
        </w:rPr>
      </w:pPr>
      <w:r>
        <w:rPr>
          <w:rFonts w:hint="eastAsia" w:ascii="宋体" w:hAnsi="宋体" w:cs="宋体"/>
          <w:color w:val="auto"/>
          <w:kern w:val="0"/>
          <w:szCs w:val="21"/>
          <w:highlight w:val="none"/>
        </w:rPr>
        <w:t>28.3成交候选人并列的，由采购人自行确定成交供应商。</w:t>
      </w:r>
    </w:p>
    <w:p>
      <w:pPr>
        <w:pStyle w:val="5"/>
        <w:keepNext w:val="0"/>
        <w:keepLines w:val="0"/>
        <w:adjustRightInd w:val="0"/>
        <w:snapToGrid w:val="0"/>
        <w:spacing w:before="50" w:after="0"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29.磋商的特殊情形</w:t>
      </w:r>
    </w:p>
    <w:p>
      <w:pPr>
        <w:adjustRightInd w:val="0"/>
        <w:snapToGrid w:val="0"/>
        <w:spacing w:before="120" w:beforeLines="50" w:line="360" w:lineRule="auto"/>
        <w:ind w:firstLine="420" w:firstLineChars="200"/>
        <w:rPr>
          <w:rFonts w:ascii="宋体" w:hAnsi="宋体"/>
          <w:color w:val="auto"/>
          <w:kern w:val="0"/>
          <w:highlight w:val="none"/>
          <w:lang w:val="zh-CN"/>
        </w:rPr>
      </w:pPr>
      <w:r>
        <w:rPr>
          <w:rFonts w:hint="eastAsia" w:ascii="宋体" w:hAnsi="宋体"/>
          <w:color w:val="auto"/>
          <w:kern w:val="0"/>
          <w:highlight w:val="none"/>
          <w:lang w:val="zh-CN"/>
        </w:rPr>
        <w:t>29.1对于经公开招标的货物、服务采购项目，招标过程中提交投标文件或者经评审实质性响应招标文件要求的供应商只有 2 家的，采购人在本次磋商采购活动开始前，报经主管预算单位同意，公开招标限额标准以上的经本级财政部门批准，可以与该两家供应商进行竞争性磋商采购。</w:t>
      </w:r>
    </w:p>
    <w:p>
      <w:pPr>
        <w:adjustRightInd w:val="0"/>
        <w:snapToGrid w:val="0"/>
        <w:spacing w:before="120" w:beforeLines="50" w:line="360" w:lineRule="auto"/>
        <w:ind w:firstLine="420" w:firstLineChars="200"/>
        <w:rPr>
          <w:rFonts w:ascii="宋体" w:hAnsi="宋体"/>
          <w:color w:val="auto"/>
          <w:kern w:val="0"/>
          <w:highlight w:val="none"/>
          <w:lang w:val="zh-CN"/>
        </w:rPr>
      </w:pPr>
      <w:r>
        <w:rPr>
          <w:rFonts w:hint="eastAsia" w:ascii="宋体" w:hAnsi="宋体"/>
          <w:color w:val="auto"/>
          <w:kern w:val="0"/>
          <w:highlight w:val="none"/>
          <w:lang w:val="zh-CN"/>
        </w:rPr>
        <w:t>29.2</w:t>
      </w:r>
      <w:r>
        <w:rPr>
          <w:rFonts w:hint="eastAsia" w:ascii="宋体" w:hAnsi="宋体" w:cs="宋体"/>
          <w:color w:val="auto"/>
          <w:kern w:val="0"/>
          <w:szCs w:val="21"/>
          <w:highlight w:val="none"/>
        </w:rPr>
        <w:t>符合上款情形的，本章本节相关条款规定的供应商最低数量可以为两家。</w:t>
      </w:r>
    </w:p>
    <w:p>
      <w:pPr>
        <w:pStyle w:val="5"/>
        <w:keepNext w:val="0"/>
        <w:keepLines w:val="0"/>
        <w:adjustRightInd w:val="0"/>
        <w:snapToGrid w:val="0"/>
        <w:spacing w:before="50" w:after="0"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30.磋商终止</w:t>
      </w:r>
    </w:p>
    <w:p>
      <w:pPr>
        <w:adjustRightInd w:val="0"/>
        <w:snapToGrid w:val="0"/>
        <w:spacing w:before="120" w:beforeLines="50" w:line="360" w:lineRule="auto"/>
        <w:ind w:firstLine="420" w:firstLineChars="200"/>
        <w:jc w:val="left"/>
        <w:rPr>
          <w:rFonts w:ascii="宋体" w:hAnsi="宋体" w:cs="宋体"/>
          <w:color w:val="auto"/>
          <w:kern w:val="0"/>
          <w:szCs w:val="21"/>
          <w:highlight w:val="none"/>
        </w:rPr>
      </w:pPr>
      <w:r>
        <w:rPr>
          <w:rFonts w:hint="eastAsia" w:ascii="宋体" w:hAnsi="宋体"/>
          <w:bCs/>
          <w:color w:val="auto"/>
          <w:szCs w:val="21"/>
          <w:highlight w:val="none"/>
        </w:rPr>
        <w:t>30.1</w:t>
      </w:r>
      <w:r>
        <w:rPr>
          <w:rFonts w:hint="eastAsia" w:ascii="宋体" w:hAnsi="宋体" w:cs="宋体"/>
          <w:color w:val="auto"/>
          <w:kern w:val="0"/>
          <w:szCs w:val="21"/>
          <w:highlight w:val="none"/>
        </w:rPr>
        <w:t>出现下列情形之一的，采购人、采购代理机构应当终止竞争性磋商采购活动，</w:t>
      </w:r>
      <w:r>
        <w:rPr>
          <w:rFonts w:hint="eastAsia" w:ascii="宋体" w:hAnsi="宋体"/>
          <w:color w:val="auto"/>
          <w:highlight w:val="none"/>
        </w:rPr>
        <w:t>在指定的媒体上</w:t>
      </w:r>
      <w:r>
        <w:rPr>
          <w:rFonts w:hint="eastAsia" w:ascii="宋体" w:hAnsi="宋体" w:cs="宋体"/>
          <w:color w:val="auto"/>
          <w:kern w:val="0"/>
          <w:szCs w:val="21"/>
          <w:highlight w:val="none"/>
        </w:rPr>
        <w:t xml:space="preserve">发布项目终止公告并说明原因，重新开展采购活动： </w:t>
      </w:r>
    </w:p>
    <w:p>
      <w:pPr>
        <w:adjustRightInd w:val="0"/>
        <w:snapToGrid w:val="0"/>
        <w:spacing w:before="120" w:beforeLines="5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（1）因情况变化，不再符合规定的竞争性磋商采购方式适用情形的；</w:t>
      </w:r>
    </w:p>
    <w:p>
      <w:pPr>
        <w:adjustRightInd w:val="0"/>
        <w:snapToGrid w:val="0"/>
        <w:spacing w:before="120" w:beforeLines="50"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（2）出现影响采购公正的违法、违规行为的；</w:t>
      </w:r>
    </w:p>
    <w:p>
      <w:pPr>
        <w:adjustRightInd w:val="0"/>
        <w:snapToGrid w:val="0"/>
        <w:spacing w:before="120" w:beforeLines="50"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（3）在采购过程中符合竞争要求的供应商或者报价未超过采购预算的供应商不足3家的，或者提交最后报价的供应商少于3家的；</w:t>
      </w:r>
    </w:p>
    <w:p>
      <w:pPr>
        <w:adjustRightInd w:val="0"/>
        <w:snapToGrid w:val="0"/>
        <w:spacing w:before="120" w:beforeLines="50"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（4）</w:t>
      </w:r>
      <w:r>
        <w:rPr>
          <w:rFonts w:hint="eastAsia" w:ascii="宋体" w:hAnsi="宋体"/>
          <w:bCs/>
          <w:color w:val="auto"/>
          <w:szCs w:val="21"/>
          <w:highlight w:val="none"/>
        </w:rPr>
        <w:t>因重大变故，采购任务取消的。</w:t>
      </w:r>
    </w:p>
    <w:p>
      <w:pPr>
        <w:pStyle w:val="5"/>
        <w:keepNext w:val="0"/>
        <w:keepLines w:val="0"/>
        <w:adjustRightInd w:val="0"/>
        <w:snapToGrid w:val="0"/>
        <w:spacing w:before="50" w:after="0"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31.重新评审</w:t>
      </w:r>
    </w:p>
    <w:p>
      <w:pPr>
        <w:adjustRightInd w:val="0"/>
        <w:snapToGrid w:val="0"/>
        <w:spacing w:before="120" w:beforeLines="5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31.1除资格性审查认定错误和价格计算错误外，采购人、采购代理机构不以任何理由组织重新评审。</w:t>
      </w:r>
    </w:p>
    <w:p>
      <w:pPr>
        <w:adjustRightInd w:val="0"/>
        <w:snapToGrid w:val="0"/>
        <w:spacing w:before="120" w:beforeLines="5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采购人、采购代理机构发现磋商小组未按照磋商文件规定的评定成交的标准进行评审的，应当重新开展采购活动，并同时书面报告本级财政部门。</w:t>
      </w:r>
    </w:p>
    <w:p>
      <w:pPr>
        <w:pStyle w:val="5"/>
        <w:keepNext w:val="0"/>
        <w:keepLines w:val="0"/>
        <w:adjustRightInd w:val="0"/>
        <w:snapToGrid w:val="0"/>
        <w:spacing w:before="50" w:after="0"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32.保密及串通行为</w:t>
      </w:r>
    </w:p>
    <w:p>
      <w:pPr>
        <w:adjustRightInd w:val="0"/>
        <w:snapToGrid w:val="0"/>
        <w:spacing w:before="120" w:beforeLines="50" w:line="360" w:lineRule="auto"/>
        <w:ind w:firstLine="420" w:firstLineChars="200"/>
        <w:rPr>
          <w:rFonts w:ascii="宋体" w:hAnsi="宋体"/>
          <w:color w:val="auto"/>
          <w:highlight w:val="none"/>
        </w:rPr>
      </w:pPr>
      <w:r>
        <w:rPr>
          <w:rFonts w:hint="eastAsia" w:ascii="宋体" w:hAnsi="宋体"/>
          <w:color w:val="auto"/>
          <w:highlight w:val="none"/>
        </w:rPr>
        <w:t>32.1磋商小组成员以及与评审工作有关的人员不得泄露评审情况以及评审过程中获悉的国家秘密、商业秘密。</w:t>
      </w:r>
    </w:p>
    <w:p>
      <w:pPr>
        <w:adjustRightInd w:val="0"/>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32.2</w:t>
      </w:r>
      <w:r>
        <w:rPr>
          <w:rFonts w:hint="eastAsia" w:ascii="宋体" w:hAnsi="宋体" w:cs="宋体"/>
          <w:color w:val="auto"/>
          <w:kern w:val="0"/>
          <w:szCs w:val="21"/>
          <w:highlight w:val="none"/>
        </w:rPr>
        <w:t>供应商</w:t>
      </w:r>
      <w:r>
        <w:rPr>
          <w:rFonts w:hint="eastAsia" w:ascii="宋体" w:hAnsi="宋体"/>
          <w:color w:val="auto"/>
          <w:szCs w:val="21"/>
          <w:highlight w:val="none"/>
        </w:rPr>
        <w:t>不得与</w:t>
      </w:r>
      <w:r>
        <w:rPr>
          <w:rFonts w:hint="eastAsia" w:ascii="宋体" w:hAnsi="宋体" w:cs="宋体"/>
          <w:color w:val="auto"/>
          <w:kern w:val="0"/>
          <w:szCs w:val="21"/>
          <w:highlight w:val="none"/>
        </w:rPr>
        <w:t>采购人、采购代理机构、其他供应商恶意</w:t>
      </w:r>
      <w:r>
        <w:rPr>
          <w:rFonts w:hint="eastAsia" w:ascii="宋体" w:hAnsi="宋体"/>
          <w:color w:val="auto"/>
          <w:szCs w:val="21"/>
          <w:highlight w:val="none"/>
        </w:rPr>
        <w:t>串通；不得向</w:t>
      </w:r>
      <w:r>
        <w:rPr>
          <w:rFonts w:hint="eastAsia" w:ascii="宋体" w:hAnsi="宋体" w:cs="宋体"/>
          <w:color w:val="auto"/>
          <w:kern w:val="0"/>
          <w:szCs w:val="21"/>
          <w:highlight w:val="none"/>
        </w:rPr>
        <w:t>采购人、采购代理机构</w:t>
      </w:r>
      <w:r>
        <w:rPr>
          <w:rFonts w:hint="eastAsia" w:ascii="宋体" w:hAnsi="宋体"/>
          <w:color w:val="auto"/>
          <w:szCs w:val="21"/>
          <w:highlight w:val="none"/>
        </w:rPr>
        <w:t>或者磋商小组成员行贿或者提供其他不正当利益；不得提供虚假材料谋取成交；不得以任何方式干扰、影响采购工作。</w:t>
      </w:r>
    </w:p>
    <w:p>
      <w:pPr>
        <w:pStyle w:val="31"/>
        <w:widowControl w:val="0"/>
        <w:adjustRightInd w:val="0"/>
        <w:snapToGrid w:val="0"/>
        <w:spacing w:before="120" w:beforeLines="50" w:beforeAutospacing="0" w:after="0" w:afterAutospacing="0" w:line="360" w:lineRule="auto"/>
        <w:ind w:firstLine="420" w:firstLineChars="200"/>
        <w:rPr>
          <w:color w:val="auto"/>
          <w:sz w:val="21"/>
          <w:szCs w:val="21"/>
          <w:highlight w:val="none"/>
          <w:lang w:val="zh-CN"/>
        </w:rPr>
      </w:pPr>
      <w:r>
        <w:rPr>
          <w:rFonts w:hint="eastAsia" w:cs="Arial"/>
          <w:color w:val="auto"/>
          <w:sz w:val="21"/>
          <w:szCs w:val="21"/>
          <w:highlight w:val="none"/>
        </w:rPr>
        <w:t>32.3</w:t>
      </w:r>
      <w:r>
        <w:rPr>
          <w:rFonts w:cs="Arial"/>
          <w:color w:val="auto"/>
          <w:sz w:val="21"/>
          <w:szCs w:val="21"/>
          <w:highlight w:val="none"/>
        </w:rPr>
        <w:t>有下列情形之一的，</w:t>
      </w:r>
      <w:r>
        <w:rPr>
          <w:color w:val="auto"/>
          <w:sz w:val="21"/>
          <w:szCs w:val="21"/>
          <w:highlight w:val="none"/>
          <w:lang w:val="zh-CN"/>
        </w:rPr>
        <w:t>属于恶意串通，</w:t>
      </w:r>
      <w:r>
        <w:rPr>
          <w:color w:val="auto"/>
          <w:sz w:val="21"/>
          <w:szCs w:val="21"/>
          <w:highlight w:val="none"/>
        </w:rPr>
        <w:t>成交无效，并</w:t>
      </w:r>
      <w:r>
        <w:rPr>
          <w:color w:val="auto"/>
          <w:sz w:val="21"/>
          <w:szCs w:val="21"/>
          <w:highlight w:val="none"/>
          <w:lang w:val="zh-CN"/>
        </w:rPr>
        <w:t>依照</w:t>
      </w:r>
      <w:r>
        <w:rPr>
          <w:rFonts w:hint="eastAsia"/>
          <w:color w:val="auto"/>
          <w:sz w:val="21"/>
          <w:szCs w:val="21"/>
          <w:highlight w:val="none"/>
          <w:lang w:val="zh-CN"/>
        </w:rPr>
        <w:t>相关法律</w:t>
      </w:r>
      <w:r>
        <w:rPr>
          <w:color w:val="auto"/>
          <w:sz w:val="21"/>
          <w:szCs w:val="21"/>
          <w:highlight w:val="none"/>
          <w:lang w:val="zh-CN"/>
        </w:rPr>
        <w:t>规定追究责任：</w:t>
      </w:r>
    </w:p>
    <w:p>
      <w:pPr>
        <w:adjustRightInd w:val="0"/>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（1）供应商直接或者间接从</w:t>
      </w:r>
      <w:r>
        <w:rPr>
          <w:rFonts w:hint="eastAsia" w:ascii="宋体" w:hAnsi="宋体"/>
          <w:bCs/>
          <w:color w:val="auto"/>
          <w:szCs w:val="21"/>
          <w:highlight w:val="none"/>
        </w:rPr>
        <w:t>采购人、采购代理机构</w:t>
      </w:r>
      <w:r>
        <w:rPr>
          <w:rFonts w:hint="eastAsia" w:ascii="宋体" w:hAnsi="宋体"/>
          <w:color w:val="auto"/>
          <w:szCs w:val="21"/>
          <w:highlight w:val="none"/>
        </w:rPr>
        <w:t>获得其他供应商的响应情况，并修改其响应文件</w:t>
      </w:r>
      <w:r>
        <w:rPr>
          <w:rFonts w:hint="eastAsia" w:ascii="宋体" w:hAnsi="宋体"/>
          <w:color w:val="auto"/>
          <w:highlight w:val="none"/>
        </w:rPr>
        <w:t>的</w:t>
      </w:r>
      <w:r>
        <w:rPr>
          <w:rFonts w:hint="eastAsia" w:ascii="宋体" w:hAnsi="宋体"/>
          <w:color w:val="auto"/>
          <w:szCs w:val="21"/>
          <w:highlight w:val="none"/>
        </w:rPr>
        <w:t>；</w:t>
      </w:r>
    </w:p>
    <w:p>
      <w:pPr>
        <w:adjustRightInd w:val="0"/>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hint="eastAsia" w:ascii="宋体" w:hAnsi="宋体"/>
          <w:bCs/>
          <w:color w:val="auto"/>
          <w:szCs w:val="21"/>
          <w:highlight w:val="none"/>
        </w:rPr>
        <w:t>采购人、采购代理机构</w:t>
      </w:r>
      <w:r>
        <w:rPr>
          <w:rFonts w:hint="eastAsia" w:ascii="宋体" w:hAnsi="宋体"/>
          <w:color w:val="auto"/>
          <w:szCs w:val="21"/>
          <w:highlight w:val="none"/>
        </w:rPr>
        <w:t>授意供应商撤换、修改响应文件</w:t>
      </w:r>
      <w:r>
        <w:rPr>
          <w:rFonts w:hint="eastAsia" w:ascii="宋体" w:hAnsi="宋体"/>
          <w:color w:val="auto"/>
          <w:highlight w:val="none"/>
        </w:rPr>
        <w:t>的</w:t>
      </w:r>
      <w:r>
        <w:rPr>
          <w:rFonts w:hint="eastAsia" w:ascii="宋体" w:hAnsi="宋体"/>
          <w:color w:val="auto"/>
          <w:szCs w:val="21"/>
          <w:highlight w:val="none"/>
        </w:rPr>
        <w:t>；</w:t>
      </w:r>
    </w:p>
    <w:p>
      <w:pPr>
        <w:adjustRightInd w:val="0"/>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（3）供应商之间协商技术方案、合同条款以及报价等响应文件实质性内容</w:t>
      </w:r>
      <w:r>
        <w:rPr>
          <w:rFonts w:hint="eastAsia" w:ascii="宋体" w:hAnsi="宋体"/>
          <w:color w:val="auto"/>
          <w:highlight w:val="none"/>
        </w:rPr>
        <w:t>的</w:t>
      </w:r>
      <w:r>
        <w:rPr>
          <w:rFonts w:hint="eastAsia" w:ascii="宋体" w:hAnsi="宋体"/>
          <w:color w:val="auto"/>
          <w:szCs w:val="21"/>
          <w:highlight w:val="none"/>
        </w:rPr>
        <w:t>；</w:t>
      </w:r>
    </w:p>
    <w:p>
      <w:pPr>
        <w:adjustRightInd w:val="0"/>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（4）属于同一集团、协会、商会等组织成员的供应商按照该组织要求协同参加竞争性磋商采购活动</w:t>
      </w:r>
      <w:r>
        <w:rPr>
          <w:rFonts w:hint="eastAsia" w:ascii="宋体" w:hAnsi="宋体"/>
          <w:color w:val="auto"/>
          <w:highlight w:val="none"/>
        </w:rPr>
        <w:t>的</w:t>
      </w:r>
      <w:r>
        <w:rPr>
          <w:rFonts w:hint="eastAsia" w:ascii="宋体" w:hAnsi="宋体"/>
          <w:color w:val="auto"/>
          <w:szCs w:val="21"/>
          <w:highlight w:val="none"/>
        </w:rPr>
        <w:t>；</w:t>
      </w:r>
    </w:p>
    <w:p>
      <w:pPr>
        <w:adjustRightInd w:val="0"/>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（5）供应商之间事先约定由某一特定供应商成交</w:t>
      </w:r>
      <w:r>
        <w:rPr>
          <w:rFonts w:hint="eastAsia" w:ascii="宋体" w:hAnsi="宋体"/>
          <w:color w:val="auto"/>
          <w:highlight w:val="none"/>
        </w:rPr>
        <w:t>的</w:t>
      </w:r>
      <w:r>
        <w:rPr>
          <w:rFonts w:hint="eastAsia" w:ascii="宋体" w:hAnsi="宋体"/>
          <w:color w:val="auto"/>
          <w:szCs w:val="21"/>
          <w:highlight w:val="none"/>
        </w:rPr>
        <w:t>；</w:t>
      </w:r>
    </w:p>
    <w:p>
      <w:pPr>
        <w:adjustRightInd w:val="0"/>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（6）供应商之间商定部分供应商放弃</w:t>
      </w:r>
      <w:r>
        <w:rPr>
          <w:rFonts w:hint="eastAsia" w:ascii="宋体" w:hAnsi="宋体"/>
          <w:color w:val="auto"/>
          <w:highlight w:val="none"/>
        </w:rPr>
        <w:t>提</w:t>
      </w:r>
      <w:r>
        <w:rPr>
          <w:rFonts w:hint="eastAsia" w:ascii="宋体" w:hAnsi="宋体"/>
          <w:color w:val="auto"/>
          <w:szCs w:val="21"/>
          <w:highlight w:val="none"/>
        </w:rPr>
        <w:t>交响应文件或者退出磋商或者放弃成交</w:t>
      </w:r>
      <w:r>
        <w:rPr>
          <w:rFonts w:hint="eastAsia" w:ascii="宋体" w:hAnsi="宋体"/>
          <w:color w:val="auto"/>
          <w:highlight w:val="none"/>
        </w:rPr>
        <w:t>的</w:t>
      </w:r>
      <w:r>
        <w:rPr>
          <w:rFonts w:hint="eastAsia" w:ascii="宋体" w:hAnsi="宋体"/>
          <w:color w:val="auto"/>
          <w:szCs w:val="21"/>
          <w:highlight w:val="none"/>
        </w:rPr>
        <w:t>；</w:t>
      </w:r>
    </w:p>
    <w:p>
      <w:pPr>
        <w:adjustRightInd w:val="0"/>
        <w:snapToGrid w:val="0"/>
        <w:spacing w:before="120" w:beforeLines="50" w:line="360" w:lineRule="auto"/>
        <w:ind w:firstLine="420" w:firstLineChars="200"/>
        <w:rPr>
          <w:rFonts w:ascii="宋体" w:hAnsi="宋体"/>
          <w:b/>
          <w:color w:val="auto"/>
          <w:szCs w:val="21"/>
          <w:highlight w:val="none"/>
        </w:rPr>
      </w:pPr>
      <w:r>
        <w:rPr>
          <w:rFonts w:hint="eastAsia" w:ascii="宋体" w:hAnsi="宋体"/>
          <w:color w:val="auto"/>
          <w:szCs w:val="21"/>
          <w:highlight w:val="none"/>
        </w:rPr>
        <w:t>（7）供应商与</w:t>
      </w:r>
      <w:r>
        <w:rPr>
          <w:rFonts w:hint="eastAsia" w:ascii="宋体" w:hAnsi="宋体"/>
          <w:bCs/>
          <w:color w:val="auto"/>
          <w:szCs w:val="21"/>
          <w:highlight w:val="none"/>
        </w:rPr>
        <w:t>采购人、采购代理机构以及</w:t>
      </w:r>
      <w:r>
        <w:rPr>
          <w:rFonts w:hint="eastAsia" w:ascii="宋体" w:hAnsi="宋体"/>
          <w:color w:val="auto"/>
          <w:szCs w:val="21"/>
          <w:highlight w:val="none"/>
        </w:rPr>
        <w:t>磋商小组成员之间、供应商相互之间，为谋求特定供应商成交或者排斥其他供应商的其他串通行为</w:t>
      </w:r>
      <w:r>
        <w:rPr>
          <w:rFonts w:hint="eastAsia" w:ascii="宋体" w:hAnsi="宋体"/>
          <w:color w:val="auto"/>
          <w:highlight w:val="none"/>
        </w:rPr>
        <w:t>的</w:t>
      </w:r>
      <w:r>
        <w:rPr>
          <w:rFonts w:hint="eastAsia" w:ascii="宋体" w:hAnsi="宋体"/>
          <w:color w:val="auto"/>
          <w:szCs w:val="21"/>
          <w:highlight w:val="none"/>
        </w:rPr>
        <w:t>。</w:t>
      </w:r>
    </w:p>
    <w:p>
      <w:pPr>
        <w:adjustRightInd w:val="0"/>
        <w:snapToGrid w:val="0"/>
        <w:spacing w:before="120" w:beforeLines="50" w:line="360" w:lineRule="auto"/>
        <w:ind w:firstLine="420" w:firstLineChars="200"/>
        <w:rPr>
          <w:rFonts w:ascii="宋体" w:hAnsi="宋体"/>
          <w:color w:val="auto"/>
          <w:szCs w:val="21"/>
          <w:highlight w:val="none"/>
        </w:rPr>
      </w:pPr>
      <w:r>
        <w:rPr>
          <w:rFonts w:ascii="宋体" w:hAnsi="宋体" w:cs="Arial"/>
          <w:color w:val="auto"/>
          <w:szCs w:val="21"/>
          <w:highlight w:val="none"/>
        </w:rPr>
        <w:t>（</w:t>
      </w:r>
      <w:r>
        <w:rPr>
          <w:rFonts w:hint="eastAsia" w:ascii="宋体" w:hAnsi="宋体" w:cs="Arial"/>
          <w:color w:val="auto"/>
          <w:szCs w:val="21"/>
          <w:highlight w:val="none"/>
        </w:rPr>
        <w:t>8</w:t>
      </w:r>
      <w:r>
        <w:rPr>
          <w:rFonts w:ascii="宋体" w:hAnsi="宋体" w:cs="Arial"/>
          <w:color w:val="auto"/>
          <w:szCs w:val="21"/>
          <w:highlight w:val="none"/>
        </w:rPr>
        <w:t>）</w:t>
      </w:r>
      <w:r>
        <w:rPr>
          <w:rFonts w:ascii="宋体" w:hAnsi="宋体"/>
          <w:color w:val="auto"/>
          <w:szCs w:val="21"/>
          <w:highlight w:val="none"/>
        </w:rPr>
        <w:t>法律、行政法规或规章规定的其他串通行为。</w:t>
      </w:r>
    </w:p>
    <w:p>
      <w:pPr>
        <w:pStyle w:val="4"/>
        <w:keepNext w:val="0"/>
        <w:keepLines w:val="0"/>
        <w:adjustRightInd w:val="0"/>
        <w:snapToGrid w:val="0"/>
        <w:spacing w:before="120" w:beforeLines="50" w:after="0" w:line="360" w:lineRule="auto"/>
        <w:jc w:val="center"/>
        <w:rPr>
          <w:rFonts w:ascii="宋体" w:hAnsi="宋体"/>
          <w:color w:val="auto"/>
          <w:sz w:val="28"/>
          <w:szCs w:val="28"/>
          <w:highlight w:val="none"/>
        </w:rPr>
      </w:pPr>
      <w:bookmarkStart w:id="25" w:name="_Toc106890509"/>
    </w:p>
    <w:p>
      <w:pPr>
        <w:pStyle w:val="4"/>
        <w:keepNext w:val="0"/>
        <w:keepLines w:val="0"/>
        <w:adjustRightInd w:val="0"/>
        <w:snapToGrid w:val="0"/>
        <w:spacing w:before="120" w:beforeLines="50" w:after="0" w:line="360" w:lineRule="auto"/>
        <w:jc w:val="center"/>
        <w:rPr>
          <w:rFonts w:ascii="宋体" w:hAnsi="宋体"/>
          <w:color w:val="auto"/>
          <w:sz w:val="28"/>
          <w:szCs w:val="28"/>
          <w:highlight w:val="none"/>
        </w:rPr>
      </w:pPr>
      <w:r>
        <w:rPr>
          <w:rFonts w:hint="eastAsia" w:ascii="宋体" w:hAnsi="宋体"/>
          <w:color w:val="auto"/>
          <w:sz w:val="28"/>
          <w:szCs w:val="28"/>
          <w:highlight w:val="none"/>
        </w:rPr>
        <w:t>六、成交结果信息公布与授予合同</w:t>
      </w:r>
      <w:bookmarkEnd w:id="25"/>
    </w:p>
    <w:p>
      <w:pPr>
        <w:pStyle w:val="5"/>
        <w:keepNext w:val="0"/>
        <w:keepLines w:val="0"/>
        <w:adjustRightInd w:val="0"/>
        <w:snapToGrid w:val="0"/>
        <w:spacing w:before="50" w:after="0"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33.成交信息的公布</w:t>
      </w:r>
    </w:p>
    <w:p>
      <w:pPr>
        <w:pStyle w:val="18"/>
        <w:adjustRightInd w:val="0"/>
        <w:snapToGrid w:val="0"/>
        <w:spacing w:before="120" w:beforeLines="50" w:line="360" w:lineRule="auto"/>
        <w:ind w:firstLine="420" w:firstLineChars="200"/>
        <w:rPr>
          <w:rFonts w:hAnsi="宋体"/>
          <w:color w:val="auto"/>
          <w:highlight w:val="none"/>
        </w:rPr>
      </w:pPr>
      <w:r>
        <w:rPr>
          <w:rFonts w:hint="eastAsia" w:hAnsi="宋体"/>
          <w:color w:val="auto"/>
          <w:highlight w:val="none"/>
        </w:rPr>
        <w:t>33.1成交供应商确定后2个工作日内，采购人、采购代理机构应将成交结果信息在</w:t>
      </w:r>
      <w:r>
        <w:rPr>
          <w:rFonts w:hint="eastAsia" w:hAnsi="宋体"/>
          <w:b/>
          <w:color w:val="auto"/>
          <w:highlight w:val="none"/>
        </w:rPr>
        <w:t>【磋商须知前附表】</w:t>
      </w:r>
      <w:r>
        <w:rPr>
          <w:rFonts w:hint="eastAsia" w:hAnsi="宋体"/>
          <w:color w:val="auto"/>
          <w:highlight w:val="none"/>
        </w:rPr>
        <w:t>指定的媒体上公布。</w:t>
      </w:r>
    </w:p>
    <w:p>
      <w:pPr>
        <w:pStyle w:val="5"/>
        <w:keepNext w:val="0"/>
        <w:keepLines w:val="0"/>
        <w:adjustRightInd w:val="0"/>
        <w:snapToGrid w:val="0"/>
        <w:spacing w:before="50" w:after="0"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34.询问及质疑</w:t>
      </w:r>
    </w:p>
    <w:p>
      <w:pPr>
        <w:adjustRightInd w:val="0"/>
        <w:snapToGrid w:val="0"/>
        <w:spacing w:before="120"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34.1供应商对采购活动事项有疑问的，可以向采购人、采购代理机构提出询问。</w:t>
      </w:r>
    </w:p>
    <w:p>
      <w:pPr>
        <w:adjustRightInd w:val="0"/>
        <w:snapToGrid w:val="0"/>
        <w:spacing w:before="120" w:beforeLines="50" w:line="360" w:lineRule="auto"/>
        <w:ind w:firstLine="420" w:firstLineChars="200"/>
        <w:jc w:val="left"/>
        <w:rPr>
          <w:rFonts w:ascii="宋体" w:hAnsi="宋体"/>
          <w:color w:val="auto"/>
          <w:highlight w:val="none"/>
        </w:rPr>
      </w:pPr>
      <w:r>
        <w:rPr>
          <w:rFonts w:hint="eastAsia" w:ascii="宋体" w:hAnsi="宋体"/>
          <w:color w:val="auto"/>
          <w:szCs w:val="21"/>
          <w:highlight w:val="none"/>
        </w:rPr>
        <w:t>34.2供应商若认为磋商文件、采购过程和成交结果使自己的权益受到损害，可以按法律、规章规定向采购人、采购代理机构提出质疑。</w:t>
      </w:r>
    </w:p>
    <w:p>
      <w:pPr>
        <w:pStyle w:val="5"/>
        <w:keepNext w:val="0"/>
        <w:keepLines w:val="0"/>
        <w:adjustRightInd w:val="0"/>
        <w:snapToGrid w:val="0"/>
        <w:spacing w:before="50" w:after="0"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35.成交通知</w:t>
      </w:r>
    </w:p>
    <w:p>
      <w:pPr>
        <w:pStyle w:val="18"/>
        <w:adjustRightInd w:val="0"/>
        <w:snapToGrid w:val="0"/>
        <w:spacing w:before="120" w:beforeLines="50" w:line="360" w:lineRule="auto"/>
        <w:ind w:firstLine="420" w:firstLineChars="200"/>
        <w:rPr>
          <w:rFonts w:hAnsi="宋体"/>
          <w:color w:val="auto"/>
          <w:highlight w:val="none"/>
        </w:rPr>
      </w:pPr>
      <w:r>
        <w:rPr>
          <w:rFonts w:hint="eastAsia" w:hAnsi="宋体"/>
          <w:color w:val="auto"/>
          <w:highlight w:val="none"/>
        </w:rPr>
        <w:t>35.1成交供应商确定后，采购人、采购代理机构将以书面形式向成交供应商发出成交通知书。成交通知书对采购人和成交供应商具有同等法律效力。</w:t>
      </w:r>
    </w:p>
    <w:p>
      <w:pPr>
        <w:pStyle w:val="18"/>
        <w:adjustRightInd w:val="0"/>
        <w:snapToGrid w:val="0"/>
        <w:spacing w:before="120" w:beforeLines="50" w:line="360" w:lineRule="auto"/>
        <w:ind w:firstLine="420" w:firstLineChars="200"/>
        <w:rPr>
          <w:rFonts w:hAnsi="宋体"/>
          <w:color w:val="auto"/>
          <w:highlight w:val="none"/>
        </w:rPr>
      </w:pPr>
      <w:r>
        <w:rPr>
          <w:rFonts w:hint="eastAsia" w:hAnsi="宋体"/>
          <w:color w:val="auto"/>
          <w:highlight w:val="none"/>
        </w:rPr>
        <w:t>35.2成交通知书是合同文件的组成部分。</w:t>
      </w:r>
    </w:p>
    <w:p>
      <w:pPr>
        <w:tabs>
          <w:tab w:val="left" w:pos="7560"/>
          <w:tab w:val="left" w:pos="7740"/>
          <w:tab w:val="left" w:pos="7920"/>
        </w:tabs>
        <w:autoSpaceDN w:val="0"/>
        <w:adjustRightInd w:val="0"/>
        <w:snapToGrid w:val="0"/>
        <w:spacing w:before="120" w:beforeLines="50" w:line="360" w:lineRule="auto"/>
        <w:ind w:firstLine="420" w:firstLineChars="200"/>
        <w:rPr>
          <w:rFonts w:ascii="宋体" w:hAnsi="宋体"/>
          <w:color w:val="auto"/>
          <w:szCs w:val="21"/>
          <w:highlight w:val="none"/>
        </w:rPr>
      </w:pPr>
      <w:r>
        <w:rPr>
          <w:rFonts w:hint="eastAsia" w:ascii="宋体" w:hAnsi="宋体" w:cs="宋体"/>
          <w:color w:val="auto"/>
          <w:kern w:val="0"/>
          <w:szCs w:val="21"/>
          <w:highlight w:val="none"/>
        </w:rPr>
        <w:t>35.3</w:t>
      </w:r>
      <w:r>
        <w:rPr>
          <w:rFonts w:hint="eastAsia" w:ascii="宋体" w:hAnsi="宋体"/>
          <w:color w:val="auto"/>
          <w:szCs w:val="21"/>
          <w:highlight w:val="none"/>
        </w:rPr>
        <w:t>磋商文件要求成交供应商向采购人提交履约担保的，成交供应商应按照</w:t>
      </w:r>
      <w:r>
        <w:rPr>
          <w:rFonts w:hint="eastAsia" w:ascii="宋体" w:hAnsi="宋体"/>
          <w:b/>
          <w:color w:val="auto"/>
          <w:szCs w:val="21"/>
          <w:highlight w:val="none"/>
        </w:rPr>
        <w:t>【磋商须知前附表】</w:t>
      </w:r>
      <w:r>
        <w:rPr>
          <w:rFonts w:hint="eastAsia" w:ascii="宋体" w:hAnsi="宋体"/>
          <w:color w:val="auto"/>
          <w:szCs w:val="21"/>
          <w:highlight w:val="none"/>
        </w:rPr>
        <w:t>的规定提交。联合体成交的，履约担保由联合体各方或联合体中牵头人的名义提交。</w:t>
      </w:r>
    </w:p>
    <w:p>
      <w:pPr>
        <w:pStyle w:val="18"/>
        <w:adjustRightInd w:val="0"/>
        <w:snapToGrid w:val="0"/>
        <w:spacing w:before="120" w:beforeLines="50" w:line="360" w:lineRule="auto"/>
        <w:ind w:firstLine="420" w:firstLineChars="200"/>
        <w:rPr>
          <w:rFonts w:hAnsi="宋体"/>
          <w:color w:val="auto"/>
          <w:highlight w:val="none"/>
        </w:rPr>
      </w:pPr>
      <w:r>
        <w:rPr>
          <w:rFonts w:hint="eastAsia" w:hAnsi="宋体"/>
          <w:color w:val="auto"/>
          <w:highlight w:val="none"/>
        </w:rPr>
        <w:t>35.4成交供应商</w:t>
      </w:r>
      <w:r>
        <w:rPr>
          <w:rFonts w:hint="eastAsia" w:hAnsi="宋体"/>
          <w:color w:val="auto"/>
          <w:spacing w:val="4"/>
          <w:highlight w:val="none"/>
        </w:rPr>
        <w:t>没有按照本章第35.3</w:t>
      </w:r>
      <w:r>
        <w:rPr>
          <w:rFonts w:hint="eastAsia" w:hAnsi="宋体" w:cs="宋体"/>
          <w:color w:val="auto"/>
          <w:kern w:val="0"/>
          <w:highlight w:val="none"/>
          <w:lang w:val="zh-CN"/>
        </w:rPr>
        <w:t>款</w:t>
      </w:r>
      <w:r>
        <w:rPr>
          <w:rFonts w:hint="eastAsia" w:hAnsi="宋体"/>
          <w:color w:val="auto"/>
          <w:spacing w:val="4"/>
          <w:highlight w:val="none"/>
        </w:rPr>
        <w:t>规定</w:t>
      </w:r>
      <w:r>
        <w:rPr>
          <w:rFonts w:hint="eastAsia" w:hAnsi="宋体"/>
          <w:color w:val="auto"/>
          <w:highlight w:val="none"/>
        </w:rPr>
        <w:t>提交履约担保的</w:t>
      </w:r>
      <w:r>
        <w:rPr>
          <w:rFonts w:hint="eastAsia" w:hAnsi="宋体"/>
          <w:color w:val="auto"/>
          <w:spacing w:val="4"/>
          <w:highlight w:val="none"/>
        </w:rPr>
        <w:t>，视为放弃</w:t>
      </w:r>
      <w:r>
        <w:rPr>
          <w:rFonts w:hint="eastAsia" w:hAnsi="宋体"/>
          <w:color w:val="auto"/>
          <w:highlight w:val="none"/>
        </w:rPr>
        <w:t>成交资格</w:t>
      </w:r>
      <w:r>
        <w:rPr>
          <w:rFonts w:hint="eastAsia" w:hAnsi="宋体"/>
          <w:color w:val="auto"/>
          <w:spacing w:val="4"/>
          <w:highlight w:val="none"/>
        </w:rPr>
        <w:t>，</w:t>
      </w:r>
      <w:r>
        <w:rPr>
          <w:rFonts w:hint="eastAsia" w:hAnsi="宋体"/>
          <w:color w:val="auto"/>
          <w:spacing w:val="2"/>
          <w:highlight w:val="none"/>
        </w:rPr>
        <w:t>其保证金不予退还。</w:t>
      </w:r>
    </w:p>
    <w:p>
      <w:pPr>
        <w:pStyle w:val="5"/>
        <w:keepNext w:val="0"/>
        <w:keepLines w:val="0"/>
        <w:adjustRightInd w:val="0"/>
        <w:snapToGrid w:val="0"/>
        <w:spacing w:before="50" w:after="0"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36.签订合同</w:t>
      </w:r>
    </w:p>
    <w:p>
      <w:pPr>
        <w:pStyle w:val="18"/>
        <w:adjustRightInd w:val="0"/>
        <w:snapToGrid w:val="0"/>
        <w:spacing w:before="120" w:beforeLines="50" w:line="360" w:lineRule="auto"/>
        <w:ind w:firstLine="420" w:firstLineChars="200"/>
        <w:rPr>
          <w:rFonts w:hAnsi="宋体"/>
          <w:color w:val="auto"/>
          <w:highlight w:val="none"/>
        </w:rPr>
      </w:pPr>
      <w:r>
        <w:rPr>
          <w:rFonts w:hint="eastAsia" w:hAnsi="宋体"/>
          <w:color w:val="auto"/>
          <w:highlight w:val="none"/>
        </w:rPr>
        <w:t>36.1磋商文件、成交供应商的响应文件及其补充的响应文件等均为签订采购合同的依据。</w:t>
      </w:r>
    </w:p>
    <w:p>
      <w:pPr>
        <w:pStyle w:val="18"/>
        <w:adjustRightInd w:val="0"/>
        <w:snapToGrid w:val="0"/>
        <w:spacing w:before="120" w:beforeLines="50" w:line="360" w:lineRule="auto"/>
        <w:ind w:firstLine="420" w:firstLineChars="200"/>
        <w:rPr>
          <w:rFonts w:hAnsi="宋体"/>
          <w:color w:val="auto"/>
          <w:highlight w:val="none"/>
        </w:rPr>
      </w:pPr>
      <w:r>
        <w:rPr>
          <w:rFonts w:hint="eastAsia" w:hAnsi="宋体"/>
          <w:color w:val="auto"/>
          <w:highlight w:val="none"/>
        </w:rPr>
        <w:t>36.2成交供应商应当在成交通知书发出之日起30日内与采购人签订采购合同。</w:t>
      </w:r>
    </w:p>
    <w:p>
      <w:pPr>
        <w:pStyle w:val="18"/>
        <w:adjustRightInd w:val="0"/>
        <w:snapToGrid w:val="0"/>
        <w:spacing w:before="120" w:beforeLines="50" w:line="360" w:lineRule="auto"/>
        <w:ind w:firstLine="420" w:firstLineChars="200"/>
        <w:rPr>
          <w:rFonts w:hAnsi="宋体"/>
          <w:color w:val="auto"/>
          <w:highlight w:val="none"/>
        </w:rPr>
      </w:pPr>
      <w:r>
        <w:rPr>
          <w:rFonts w:hint="eastAsia" w:hAnsi="宋体"/>
          <w:color w:val="auto"/>
          <w:highlight w:val="none"/>
        </w:rPr>
        <w:t>36.3成交供应商应当按照合同约定履行义务。成交供应商不得向他人转让成交项目，也不得将成交项目分包后分别向他人转让。</w:t>
      </w:r>
    </w:p>
    <w:p>
      <w:pPr>
        <w:pStyle w:val="18"/>
        <w:adjustRightInd w:val="0"/>
        <w:snapToGrid w:val="0"/>
        <w:spacing w:before="120" w:beforeLines="50" w:line="360" w:lineRule="auto"/>
        <w:ind w:firstLine="420" w:firstLineChars="200"/>
        <w:rPr>
          <w:rFonts w:hAnsi="宋体"/>
          <w:color w:val="auto"/>
          <w:highlight w:val="none"/>
        </w:rPr>
      </w:pPr>
      <w:r>
        <w:rPr>
          <w:rFonts w:hint="eastAsia" w:hAnsi="宋体"/>
          <w:color w:val="auto"/>
          <w:highlight w:val="none"/>
        </w:rPr>
        <w:t>36.4成交供应商有下列情形之一的，责令限期改正，情节严重的，列入不良行为记录名单，在1至3年内禁止参加采购活动，并予以通报：</w:t>
      </w:r>
    </w:p>
    <w:p>
      <w:pPr>
        <w:pStyle w:val="18"/>
        <w:adjustRightInd w:val="0"/>
        <w:snapToGrid w:val="0"/>
        <w:spacing w:before="120" w:beforeLines="50" w:line="360" w:lineRule="auto"/>
        <w:ind w:firstLine="420" w:firstLineChars="200"/>
        <w:rPr>
          <w:rFonts w:hAnsi="宋体"/>
          <w:color w:val="auto"/>
          <w:highlight w:val="none"/>
        </w:rPr>
      </w:pPr>
      <w:r>
        <w:rPr>
          <w:rFonts w:hint="eastAsia" w:hAnsi="宋体"/>
          <w:color w:val="auto"/>
          <w:highlight w:val="none"/>
        </w:rPr>
        <w:t>（一）成交后无正当理由不与采购人签订合同的；</w:t>
      </w:r>
    </w:p>
    <w:p>
      <w:pPr>
        <w:pStyle w:val="18"/>
        <w:adjustRightInd w:val="0"/>
        <w:snapToGrid w:val="0"/>
        <w:spacing w:before="120" w:beforeLines="50" w:line="360" w:lineRule="auto"/>
        <w:ind w:firstLine="420" w:firstLineChars="200"/>
        <w:rPr>
          <w:rFonts w:hAnsi="宋体"/>
          <w:color w:val="auto"/>
          <w:highlight w:val="none"/>
        </w:rPr>
      </w:pPr>
      <w:r>
        <w:rPr>
          <w:rFonts w:hint="eastAsia" w:hAnsi="宋体"/>
          <w:color w:val="auto"/>
          <w:highlight w:val="none"/>
        </w:rPr>
        <w:t>（二）未按照采购文件确定的事项签订采购合同，或者与采购人另行订立背离合同实质性内容的协议的；</w:t>
      </w:r>
    </w:p>
    <w:p>
      <w:pPr>
        <w:pStyle w:val="18"/>
        <w:adjustRightInd w:val="0"/>
        <w:snapToGrid w:val="0"/>
        <w:spacing w:before="120" w:beforeLines="50" w:line="360" w:lineRule="auto"/>
        <w:ind w:firstLine="420" w:firstLineChars="200"/>
        <w:rPr>
          <w:rFonts w:hAnsi="宋体"/>
          <w:color w:val="auto"/>
          <w:highlight w:val="none"/>
        </w:rPr>
      </w:pPr>
      <w:r>
        <w:rPr>
          <w:rFonts w:hint="eastAsia" w:hAnsi="宋体"/>
          <w:color w:val="auto"/>
          <w:highlight w:val="none"/>
        </w:rPr>
        <w:t>（三）拒绝履行合同义务的；</w:t>
      </w:r>
    </w:p>
    <w:p>
      <w:pPr>
        <w:pStyle w:val="18"/>
        <w:adjustRightInd w:val="0"/>
        <w:snapToGrid w:val="0"/>
        <w:spacing w:before="120" w:beforeLines="50" w:line="360" w:lineRule="auto"/>
        <w:ind w:firstLine="420" w:firstLineChars="200"/>
        <w:rPr>
          <w:rFonts w:hAnsi="宋体" w:cs="宋体"/>
          <w:color w:val="auto"/>
          <w:kern w:val="0"/>
          <w:highlight w:val="none"/>
        </w:rPr>
      </w:pPr>
      <w:r>
        <w:rPr>
          <w:rFonts w:hint="eastAsia" w:hAnsi="宋体"/>
          <w:color w:val="auto"/>
          <w:highlight w:val="none"/>
        </w:rPr>
        <w:t>（四）</w:t>
      </w:r>
      <w:r>
        <w:rPr>
          <w:rFonts w:hint="eastAsia" w:hAnsi="宋体" w:cs="宋体"/>
          <w:color w:val="auto"/>
          <w:kern w:val="0"/>
          <w:highlight w:val="none"/>
        </w:rPr>
        <w:t>违反法律、规章、规范性文件规定的。</w:t>
      </w:r>
    </w:p>
    <w:p>
      <w:pPr>
        <w:pStyle w:val="4"/>
        <w:keepNext w:val="0"/>
        <w:keepLines w:val="0"/>
        <w:adjustRightInd w:val="0"/>
        <w:snapToGrid w:val="0"/>
        <w:spacing w:before="120" w:beforeLines="50" w:after="0" w:line="360" w:lineRule="auto"/>
        <w:jc w:val="center"/>
        <w:rPr>
          <w:rFonts w:ascii="宋体" w:hAnsi="宋体"/>
          <w:color w:val="auto"/>
          <w:sz w:val="28"/>
          <w:szCs w:val="28"/>
          <w:highlight w:val="none"/>
        </w:rPr>
      </w:pPr>
      <w:bookmarkStart w:id="26" w:name="_Toc106890511"/>
    </w:p>
    <w:p>
      <w:pPr>
        <w:pStyle w:val="4"/>
        <w:keepNext w:val="0"/>
        <w:keepLines w:val="0"/>
        <w:adjustRightInd w:val="0"/>
        <w:snapToGrid w:val="0"/>
        <w:spacing w:before="120" w:beforeLines="50" w:after="0" w:line="360" w:lineRule="auto"/>
        <w:jc w:val="center"/>
        <w:rPr>
          <w:rFonts w:ascii="宋体" w:hAnsi="宋体"/>
          <w:color w:val="auto"/>
          <w:sz w:val="28"/>
          <w:szCs w:val="28"/>
          <w:highlight w:val="none"/>
        </w:rPr>
      </w:pPr>
      <w:r>
        <w:rPr>
          <w:rFonts w:hint="eastAsia" w:ascii="宋体" w:hAnsi="宋体"/>
          <w:color w:val="auto"/>
          <w:sz w:val="28"/>
          <w:szCs w:val="28"/>
          <w:highlight w:val="none"/>
        </w:rPr>
        <w:t>七、其他规定</w:t>
      </w:r>
      <w:bookmarkEnd w:id="26"/>
    </w:p>
    <w:p>
      <w:pPr>
        <w:pStyle w:val="5"/>
        <w:keepNext w:val="0"/>
        <w:keepLines w:val="0"/>
        <w:adjustRightInd w:val="0"/>
        <w:snapToGrid w:val="0"/>
        <w:spacing w:before="50" w:after="0"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3</w:t>
      </w:r>
      <w:r>
        <w:rPr>
          <w:rFonts w:ascii="宋体" w:hAnsi="宋体" w:eastAsia="宋体"/>
          <w:color w:val="auto"/>
          <w:sz w:val="24"/>
          <w:szCs w:val="24"/>
          <w:highlight w:val="none"/>
        </w:rPr>
        <w:t>7</w:t>
      </w:r>
      <w:r>
        <w:rPr>
          <w:rFonts w:hint="eastAsia" w:ascii="宋体" w:hAnsi="宋体" w:eastAsia="宋体"/>
          <w:color w:val="auto"/>
          <w:sz w:val="24"/>
          <w:szCs w:val="24"/>
          <w:highlight w:val="none"/>
        </w:rPr>
        <w:t>.代理服务费</w:t>
      </w:r>
    </w:p>
    <w:p>
      <w:pPr>
        <w:tabs>
          <w:tab w:val="left" w:pos="420"/>
          <w:tab w:val="left" w:pos="7560"/>
          <w:tab w:val="left" w:pos="7740"/>
          <w:tab w:val="left" w:pos="7920"/>
        </w:tabs>
        <w:adjustRightInd w:val="0"/>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7</w:t>
      </w:r>
      <w:r>
        <w:rPr>
          <w:rFonts w:hint="eastAsia" w:ascii="宋体" w:hAnsi="宋体"/>
          <w:color w:val="auto"/>
          <w:szCs w:val="21"/>
          <w:highlight w:val="none"/>
        </w:rPr>
        <w:t>.1采购代理服务费由成交供应商支付的，供应商应按</w:t>
      </w:r>
      <w:r>
        <w:rPr>
          <w:rFonts w:hint="eastAsia" w:ascii="宋体" w:hAnsi="宋体"/>
          <w:b/>
          <w:color w:val="auto"/>
          <w:szCs w:val="21"/>
          <w:highlight w:val="none"/>
        </w:rPr>
        <w:t>【磋商须知前附表】</w:t>
      </w:r>
      <w:r>
        <w:rPr>
          <w:rFonts w:hint="eastAsia" w:ascii="宋体" w:hAnsi="宋体"/>
          <w:color w:val="auto"/>
          <w:szCs w:val="21"/>
          <w:highlight w:val="none"/>
        </w:rPr>
        <w:t>规定向采购代理机构交纳代理服务费。</w:t>
      </w:r>
    </w:p>
    <w:p>
      <w:pPr>
        <w:pStyle w:val="5"/>
        <w:keepNext w:val="0"/>
        <w:keepLines w:val="0"/>
        <w:adjustRightInd w:val="0"/>
        <w:snapToGrid w:val="0"/>
        <w:spacing w:before="50" w:after="0"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3</w:t>
      </w:r>
      <w:r>
        <w:rPr>
          <w:rFonts w:ascii="宋体" w:hAnsi="宋体" w:eastAsia="宋体"/>
          <w:color w:val="auto"/>
          <w:sz w:val="24"/>
          <w:szCs w:val="24"/>
          <w:highlight w:val="none"/>
        </w:rPr>
        <w:t>8</w:t>
      </w:r>
      <w:r>
        <w:rPr>
          <w:rFonts w:hint="eastAsia" w:ascii="宋体" w:hAnsi="宋体" w:eastAsia="宋体"/>
          <w:color w:val="auto"/>
          <w:sz w:val="24"/>
          <w:szCs w:val="24"/>
          <w:highlight w:val="none"/>
        </w:rPr>
        <w:t>.其他规定</w:t>
      </w:r>
    </w:p>
    <w:p>
      <w:pPr>
        <w:adjustRightInd w:val="0"/>
        <w:snapToGrid w:val="0"/>
        <w:spacing w:before="120" w:beforeLines="50" w:line="360" w:lineRule="auto"/>
        <w:ind w:firstLine="420" w:firstLineChars="200"/>
        <w:jc w:val="left"/>
        <w:rPr>
          <w:rFonts w:ascii="宋体" w:hAnsi="宋体"/>
          <w:b/>
          <w:bCs/>
          <w:color w:val="auto"/>
          <w:kern w:val="44"/>
          <w:sz w:val="32"/>
          <w:szCs w:val="32"/>
          <w:highlight w:val="none"/>
        </w:rPr>
      </w:pPr>
      <w:r>
        <w:rPr>
          <w:rFonts w:hint="eastAsia" w:ascii="宋体" w:hAnsi="宋体"/>
          <w:color w:val="auto"/>
          <w:highlight w:val="none"/>
        </w:rPr>
        <w:t>3</w:t>
      </w:r>
      <w:r>
        <w:rPr>
          <w:rFonts w:ascii="宋体" w:hAnsi="宋体"/>
          <w:color w:val="auto"/>
          <w:highlight w:val="none"/>
        </w:rPr>
        <w:t>8</w:t>
      </w:r>
      <w:r>
        <w:rPr>
          <w:rFonts w:hint="eastAsia" w:ascii="宋体" w:hAnsi="宋体"/>
          <w:color w:val="auto"/>
          <w:highlight w:val="none"/>
        </w:rPr>
        <w:t>.1</w:t>
      </w:r>
      <w:r>
        <w:rPr>
          <w:rFonts w:hint="eastAsia" w:ascii="宋体" w:hAnsi="宋体"/>
          <w:color w:val="auto"/>
          <w:szCs w:val="21"/>
          <w:highlight w:val="none"/>
        </w:rPr>
        <w:t>磋商文件</w:t>
      </w:r>
      <w:r>
        <w:rPr>
          <w:rFonts w:hint="eastAsia" w:ascii="宋体" w:hAnsi="宋体"/>
          <w:color w:val="auto"/>
          <w:highlight w:val="none"/>
        </w:rPr>
        <w:t>的其他规定</w:t>
      </w:r>
      <w:r>
        <w:rPr>
          <w:rFonts w:hint="eastAsia" w:ascii="宋体" w:hAnsi="宋体"/>
          <w:color w:val="auto"/>
          <w:szCs w:val="21"/>
          <w:highlight w:val="none"/>
        </w:rPr>
        <w:t>见</w:t>
      </w:r>
      <w:r>
        <w:rPr>
          <w:rFonts w:hint="eastAsia" w:ascii="宋体" w:hAnsi="宋体"/>
          <w:b/>
          <w:color w:val="auto"/>
          <w:szCs w:val="21"/>
          <w:highlight w:val="none"/>
        </w:rPr>
        <w:t>【磋商须知前附表】</w:t>
      </w:r>
      <w:r>
        <w:rPr>
          <w:rFonts w:hint="eastAsia" w:ascii="宋体" w:hAnsi="宋体"/>
          <w:color w:val="auto"/>
          <w:szCs w:val="21"/>
          <w:highlight w:val="none"/>
        </w:rPr>
        <w:t>。</w:t>
      </w:r>
      <w:bookmarkStart w:id="27" w:name="_Toc106890512"/>
    </w:p>
    <w:p>
      <w:pPr>
        <w:rPr>
          <w:rFonts w:ascii="宋体" w:hAnsi="宋体"/>
          <w:color w:val="auto"/>
          <w:sz w:val="32"/>
          <w:szCs w:val="32"/>
          <w:highlight w:val="none"/>
        </w:rPr>
      </w:pPr>
      <w:r>
        <w:rPr>
          <w:rFonts w:hint="eastAsia" w:ascii="宋体" w:hAnsi="宋体"/>
          <w:color w:val="auto"/>
          <w:sz w:val="32"/>
          <w:szCs w:val="32"/>
          <w:highlight w:val="none"/>
        </w:rPr>
        <w:br w:type="page"/>
      </w:r>
    </w:p>
    <w:p>
      <w:pPr>
        <w:pStyle w:val="2"/>
        <w:jc w:val="center"/>
        <w:rPr>
          <w:rFonts w:ascii="宋体" w:hAnsi="宋体"/>
          <w:color w:val="auto"/>
          <w:sz w:val="32"/>
          <w:szCs w:val="32"/>
          <w:highlight w:val="none"/>
        </w:rPr>
      </w:pPr>
      <w:r>
        <w:rPr>
          <w:rFonts w:hint="eastAsia" w:ascii="宋体" w:hAnsi="宋体"/>
          <w:color w:val="auto"/>
          <w:sz w:val="32"/>
          <w:szCs w:val="32"/>
          <w:highlight w:val="none"/>
        </w:rPr>
        <w:t>第三章 采购需求</w:t>
      </w:r>
      <w:bookmarkEnd w:id="27"/>
    </w:p>
    <w:p>
      <w:pPr>
        <w:pStyle w:val="3"/>
        <w:adjustRightInd w:val="0"/>
        <w:snapToGrid w:val="0"/>
        <w:spacing w:before="120" w:beforeLines="50"/>
        <w:jc w:val="center"/>
        <w:rPr>
          <w:rFonts w:ascii="宋体" w:hAnsi="宋体"/>
          <w:color w:val="auto"/>
          <w:sz w:val="28"/>
          <w:szCs w:val="28"/>
          <w:highlight w:val="none"/>
        </w:rPr>
      </w:pPr>
      <w:bookmarkStart w:id="28" w:name="_Toc106890513"/>
      <w:r>
        <w:rPr>
          <w:rFonts w:hint="eastAsia" w:ascii="宋体" w:hAnsi="宋体"/>
          <w:color w:val="auto"/>
          <w:sz w:val="28"/>
          <w:szCs w:val="28"/>
          <w:highlight w:val="none"/>
        </w:rPr>
        <w:t>第一节 采购清单一览表</w:t>
      </w:r>
      <w:bookmarkEnd w:id="28"/>
    </w:p>
    <w:tbl>
      <w:tblPr>
        <w:tblStyle w:val="37"/>
        <w:tblW w:w="941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47"/>
        <w:gridCol w:w="2501"/>
        <w:gridCol w:w="2117"/>
        <w:gridCol w:w="433"/>
        <w:gridCol w:w="483"/>
        <w:gridCol w:w="1750"/>
        <w:gridCol w:w="1084"/>
        <w:gridCol w:w="39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26" w:hRule="atLeast"/>
          <w:jc w:val="center"/>
        </w:trPr>
        <w:tc>
          <w:tcPr>
            <w:tcW w:w="647" w:type="dxa"/>
            <w:vMerge w:val="restart"/>
            <w:vAlign w:val="center"/>
          </w:tcPr>
          <w:p>
            <w:pPr>
              <w:adjustRightInd w:val="0"/>
              <w:snapToGrid w:val="0"/>
              <w:spacing w:line="360" w:lineRule="auto"/>
              <w:jc w:val="center"/>
              <w:rPr>
                <w:rFonts w:ascii="宋体" w:hAnsi="宋体"/>
                <w:b/>
                <w:bCs/>
                <w:color w:val="auto"/>
                <w:szCs w:val="21"/>
                <w:highlight w:val="none"/>
              </w:rPr>
            </w:pPr>
            <w:r>
              <w:rPr>
                <w:rFonts w:hint="eastAsia" w:ascii="宋体" w:hAnsi="宋体"/>
                <w:b/>
                <w:bCs/>
                <w:color w:val="auto"/>
                <w:szCs w:val="21"/>
                <w:highlight w:val="none"/>
              </w:rPr>
              <w:t>序号</w:t>
            </w:r>
          </w:p>
        </w:tc>
        <w:tc>
          <w:tcPr>
            <w:tcW w:w="2501" w:type="dxa"/>
            <w:vMerge w:val="restart"/>
            <w:vAlign w:val="center"/>
          </w:tcPr>
          <w:p>
            <w:pPr>
              <w:adjustRightInd w:val="0"/>
              <w:snapToGrid w:val="0"/>
              <w:spacing w:line="360" w:lineRule="auto"/>
              <w:jc w:val="center"/>
              <w:rPr>
                <w:rFonts w:ascii="宋体" w:hAnsi="宋体"/>
                <w:b/>
                <w:bCs/>
                <w:color w:val="auto"/>
                <w:szCs w:val="21"/>
                <w:highlight w:val="none"/>
              </w:rPr>
            </w:pPr>
            <w:r>
              <w:rPr>
                <w:rFonts w:hint="eastAsia" w:ascii="宋体" w:hAnsi="宋体"/>
                <w:b/>
                <w:bCs/>
                <w:color w:val="auto"/>
                <w:szCs w:val="21"/>
                <w:highlight w:val="none"/>
              </w:rPr>
              <w:t>包名称</w:t>
            </w:r>
          </w:p>
        </w:tc>
        <w:tc>
          <w:tcPr>
            <w:tcW w:w="2117" w:type="dxa"/>
            <w:vMerge w:val="restart"/>
            <w:vAlign w:val="center"/>
          </w:tcPr>
          <w:p>
            <w:pPr>
              <w:adjustRightInd w:val="0"/>
              <w:snapToGrid w:val="0"/>
              <w:spacing w:line="360" w:lineRule="auto"/>
              <w:jc w:val="center"/>
              <w:rPr>
                <w:rFonts w:ascii="宋体" w:hAnsi="宋体"/>
                <w:b/>
                <w:bCs/>
                <w:color w:val="auto"/>
                <w:szCs w:val="21"/>
                <w:highlight w:val="none"/>
              </w:rPr>
            </w:pPr>
            <w:r>
              <w:rPr>
                <w:rFonts w:hint="eastAsia" w:ascii="宋体" w:hAnsi="宋体"/>
                <w:b/>
                <w:bCs/>
                <w:color w:val="auto"/>
                <w:szCs w:val="21"/>
                <w:highlight w:val="none"/>
              </w:rPr>
              <w:t>分项项目名称</w:t>
            </w:r>
          </w:p>
          <w:p>
            <w:pPr>
              <w:adjustRightInd w:val="0"/>
              <w:snapToGrid w:val="0"/>
              <w:spacing w:line="360" w:lineRule="auto"/>
              <w:jc w:val="center"/>
              <w:rPr>
                <w:rFonts w:ascii="宋体" w:hAnsi="宋体"/>
                <w:b/>
                <w:bCs/>
                <w:color w:val="auto"/>
                <w:szCs w:val="21"/>
                <w:highlight w:val="none"/>
              </w:rPr>
            </w:pPr>
            <w:r>
              <w:rPr>
                <w:rFonts w:hint="eastAsia" w:ascii="宋体" w:hAnsi="宋体"/>
                <w:b/>
                <w:bCs/>
                <w:color w:val="auto"/>
                <w:szCs w:val="21"/>
                <w:highlight w:val="none"/>
              </w:rPr>
              <w:t>（条目号/品目名称）</w:t>
            </w:r>
          </w:p>
        </w:tc>
        <w:tc>
          <w:tcPr>
            <w:tcW w:w="433" w:type="dxa"/>
            <w:vMerge w:val="restart"/>
            <w:tcBorders>
              <w:left w:val="single" w:color="auto" w:sz="4" w:space="0"/>
            </w:tcBorders>
            <w:vAlign w:val="center"/>
          </w:tcPr>
          <w:p>
            <w:pPr>
              <w:adjustRightInd w:val="0"/>
              <w:snapToGrid w:val="0"/>
              <w:spacing w:line="360" w:lineRule="auto"/>
              <w:jc w:val="center"/>
              <w:rPr>
                <w:rFonts w:ascii="宋体" w:hAnsi="宋体"/>
                <w:b/>
                <w:bCs/>
                <w:color w:val="auto"/>
                <w:szCs w:val="21"/>
                <w:highlight w:val="none"/>
              </w:rPr>
            </w:pPr>
            <w:r>
              <w:rPr>
                <w:rFonts w:hint="eastAsia" w:ascii="宋体" w:hAnsi="宋体"/>
                <w:b/>
                <w:bCs/>
                <w:color w:val="auto"/>
                <w:szCs w:val="21"/>
                <w:highlight w:val="none"/>
              </w:rPr>
              <w:t>单位</w:t>
            </w:r>
          </w:p>
        </w:tc>
        <w:tc>
          <w:tcPr>
            <w:tcW w:w="483" w:type="dxa"/>
            <w:vMerge w:val="restart"/>
            <w:vAlign w:val="center"/>
          </w:tcPr>
          <w:p>
            <w:pPr>
              <w:adjustRightInd w:val="0"/>
              <w:snapToGrid w:val="0"/>
              <w:spacing w:line="360" w:lineRule="auto"/>
              <w:jc w:val="center"/>
              <w:rPr>
                <w:rFonts w:ascii="宋体" w:hAnsi="宋体"/>
                <w:b/>
                <w:bCs/>
                <w:color w:val="auto"/>
                <w:szCs w:val="21"/>
                <w:highlight w:val="none"/>
              </w:rPr>
            </w:pPr>
            <w:r>
              <w:rPr>
                <w:rFonts w:hint="eastAsia" w:ascii="宋体" w:hAnsi="宋体"/>
                <w:b/>
                <w:bCs/>
                <w:color w:val="auto"/>
                <w:szCs w:val="21"/>
                <w:highlight w:val="none"/>
              </w:rPr>
              <w:t>数量</w:t>
            </w:r>
          </w:p>
        </w:tc>
        <w:tc>
          <w:tcPr>
            <w:tcW w:w="2834" w:type="dxa"/>
            <w:gridSpan w:val="2"/>
            <w:vAlign w:val="center"/>
          </w:tcPr>
          <w:p>
            <w:pPr>
              <w:adjustRightInd w:val="0"/>
              <w:snapToGrid w:val="0"/>
              <w:spacing w:line="360" w:lineRule="auto"/>
              <w:jc w:val="center"/>
              <w:rPr>
                <w:rFonts w:ascii="宋体" w:hAnsi="宋体"/>
                <w:b/>
                <w:bCs/>
                <w:color w:val="auto"/>
                <w:szCs w:val="21"/>
                <w:highlight w:val="none"/>
              </w:rPr>
            </w:pPr>
            <w:r>
              <w:rPr>
                <w:rFonts w:hint="eastAsia" w:ascii="宋体" w:hAnsi="宋体"/>
                <w:b/>
                <w:bCs/>
                <w:color w:val="auto"/>
                <w:szCs w:val="21"/>
                <w:highlight w:val="none"/>
              </w:rPr>
              <w:t>交货要求</w:t>
            </w:r>
          </w:p>
        </w:tc>
        <w:tc>
          <w:tcPr>
            <w:tcW w:w="398" w:type="dxa"/>
            <w:vMerge w:val="restart"/>
            <w:vAlign w:val="center"/>
          </w:tcPr>
          <w:p>
            <w:pPr>
              <w:adjustRightInd w:val="0"/>
              <w:snapToGrid w:val="0"/>
              <w:spacing w:line="360" w:lineRule="auto"/>
              <w:jc w:val="center"/>
              <w:rPr>
                <w:rFonts w:ascii="宋体" w:hAnsi="宋体"/>
                <w:b/>
                <w:bCs/>
                <w:color w:val="auto"/>
                <w:szCs w:val="21"/>
                <w:highlight w:val="none"/>
              </w:rPr>
            </w:pPr>
            <w:r>
              <w:rPr>
                <w:rFonts w:hint="eastAsia" w:ascii="宋体" w:hAnsi="宋体"/>
                <w:b/>
                <w:bCs/>
                <w:color w:val="auto"/>
                <w:szCs w:val="21"/>
                <w:highlight w:val="none"/>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04" w:hRule="atLeast"/>
          <w:jc w:val="center"/>
        </w:trPr>
        <w:tc>
          <w:tcPr>
            <w:tcW w:w="647" w:type="dxa"/>
            <w:vMerge w:val="continue"/>
            <w:vAlign w:val="center"/>
          </w:tcPr>
          <w:p>
            <w:pPr>
              <w:adjustRightInd w:val="0"/>
              <w:snapToGrid w:val="0"/>
              <w:spacing w:before="120" w:beforeLines="50" w:line="360" w:lineRule="auto"/>
              <w:jc w:val="center"/>
              <w:rPr>
                <w:rFonts w:ascii="宋体" w:hAnsi="宋体"/>
                <w:color w:val="auto"/>
                <w:szCs w:val="21"/>
                <w:highlight w:val="none"/>
              </w:rPr>
            </w:pPr>
          </w:p>
        </w:tc>
        <w:tc>
          <w:tcPr>
            <w:tcW w:w="2501" w:type="dxa"/>
            <w:vMerge w:val="continue"/>
            <w:vAlign w:val="center"/>
          </w:tcPr>
          <w:p>
            <w:pPr>
              <w:adjustRightInd w:val="0"/>
              <w:snapToGrid w:val="0"/>
              <w:spacing w:before="120" w:beforeLines="50" w:line="360" w:lineRule="auto"/>
              <w:jc w:val="center"/>
              <w:rPr>
                <w:rFonts w:ascii="宋体" w:hAnsi="宋体"/>
                <w:color w:val="auto"/>
                <w:szCs w:val="21"/>
                <w:highlight w:val="none"/>
              </w:rPr>
            </w:pPr>
          </w:p>
        </w:tc>
        <w:tc>
          <w:tcPr>
            <w:tcW w:w="2117" w:type="dxa"/>
            <w:vMerge w:val="continue"/>
            <w:vAlign w:val="center"/>
          </w:tcPr>
          <w:p>
            <w:pPr>
              <w:adjustRightInd w:val="0"/>
              <w:snapToGrid w:val="0"/>
              <w:spacing w:before="120" w:beforeLines="50" w:line="360" w:lineRule="auto"/>
              <w:jc w:val="center"/>
              <w:rPr>
                <w:rFonts w:ascii="宋体" w:hAnsi="宋体"/>
                <w:color w:val="auto"/>
                <w:szCs w:val="21"/>
                <w:highlight w:val="none"/>
              </w:rPr>
            </w:pPr>
          </w:p>
        </w:tc>
        <w:tc>
          <w:tcPr>
            <w:tcW w:w="433" w:type="dxa"/>
            <w:vMerge w:val="continue"/>
            <w:tcBorders>
              <w:left w:val="single" w:color="auto" w:sz="4" w:space="0"/>
            </w:tcBorders>
            <w:vAlign w:val="center"/>
          </w:tcPr>
          <w:p>
            <w:pPr>
              <w:adjustRightInd w:val="0"/>
              <w:snapToGrid w:val="0"/>
              <w:spacing w:before="120" w:beforeLines="50" w:line="360" w:lineRule="auto"/>
              <w:jc w:val="center"/>
              <w:rPr>
                <w:rFonts w:ascii="宋体" w:hAnsi="宋体"/>
                <w:color w:val="auto"/>
                <w:szCs w:val="21"/>
                <w:highlight w:val="none"/>
              </w:rPr>
            </w:pPr>
          </w:p>
        </w:tc>
        <w:tc>
          <w:tcPr>
            <w:tcW w:w="483" w:type="dxa"/>
            <w:vMerge w:val="continue"/>
            <w:vAlign w:val="center"/>
          </w:tcPr>
          <w:p>
            <w:pPr>
              <w:adjustRightInd w:val="0"/>
              <w:snapToGrid w:val="0"/>
              <w:spacing w:before="120" w:beforeLines="50" w:line="360" w:lineRule="auto"/>
              <w:jc w:val="center"/>
              <w:rPr>
                <w:rFonts w:ascii="宋体" w:hAnsi="宋体"/>
                <w:color w:val="auto"/>
                <w:szCs w:val="21"/>
                <w:highlight w:val="none"/>
              </w:rPr>
            </w:pPr>
          </w:p>
        </w:tc>
        <w:tc>
          <w:tcPr>
            <w:tcW w:w="1750" w:type="dxa"/>
            <w:vAlign w:val="center"/>
          </w:tcPr>
          <w:p>
            <w:pPr>
              <w:adjustRightInd w:val="0"/>
              <w:snapToGrid w:val="0"/>
              <w:spacing w:before="120" w:beforeLines="50" w:line="360" w:lineRule="auto"/>
              <w:jc w:val="center"/>
              <w:rPr>
                <w:rFonts w:ascii="宋体" w:hAnsi="宋体"/>
                <w:b/>
                <w:bCs/>
                <w:color w:val="auto"/>
                <w:szCs w:val="21"/>
                <w:highlight w:val="none"/>
              </w:rPr>
            </w:pPr>
            <w:r>
              <w:rPr>
                <w:rFonts w:hint="eastAsia" w:ascii="宋体" w:hAnsi="宋体"/>
                <w:b/>
                <w:bCs/>
                <w:color w:val="auto"/>
                <w:szCs w:val="21"/>
                <w:highlight w:val="none"/>
              </w:rPr>
              <w:t>时间</w:t>
            </w:r>
          </w:p>
        </w:tc>
        <w:tc>
          <w:tcPr>
            <w:tcW w:w="1084" w:type="dxa"/>
            <w:vAlign w:val="center"/>
          </w:tcPr>
          <w:p>
            <w:pPr>
              <w:adjustRightInd w:val="0"/>
              <w:snapToGrid w:val="0"/>
              <w:spacing w:before="120" w:beforeLines="50" w:line="360" w:lineRule="auto"/>
              <w:jc w:val="center"/>
              <w:rPr>
                <w:rFonts w:ascii="宋体" w:hAnsi="宋体"/>
                <w:b/>
                <w:bCs/>
                <w:color w:val="auto"/>
                <w:szCs w:val="21"/>
                <w:highlight w:val="none"/>
              </w:rPr>
            </w:pPr>
            <w:r>
              <w:rPr>
                <w:rFonts w:hint="eastAsia" w:ascii="宋体" w:hAnsi="宋体"/>
                <w:b/>
                <w:bCs/>
                <w:color w:val="auto"/>
                <w:szCs w:val="21"/>
                <w:highlight w:val="none"/>
              </w:rPr>
              <w:t>地点</w:t>
            </w:r>
          </w:p>
        </w:tc>
        <w:tc>
          <w:tcPr>
            <w:tcW w:w="398" w:type="dxa"/>
            <w:vMerge w:val="continue"/>
          </w:tcPr>
          <w:p>
            <w:pPr>
              <w:adjustRightInd w:val="0"/>
              <w:snapToGrid w:val="0"/>
              <w:spacing w:before="120" w:beforeLines="50" w:line="360" w:lineRule="auto"/>
              <w:rPr>
                <w:rFonts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176" w:hRule="atLeast"/>
          <w:jc w:val="center"/>
        </w:trPr>
        <w:tc>
          <w:tcPr>
            <w:tcW w:w="647" w:type="dxa"/>
            <w:vAlign w:val="center"/>
          </w:tcPr>
          <w:p>
            <w:pPr>
              <w:adjustRightInd w:val="0"/>
              <w:snapToGrid w:val="0"/>
              <w:spacing w:line="360" w:lineRule="exact"/>
              <w:jc w:val="center"/>
              <w:rPr>
                <w:rFonts w:ascii="宋体" w:hAnsi="宋体"/>
                <w:color w:val="auto"/>
                <w:szCs w:val="21"/>
                <w:highlight w:val="none"/>
              </w:rPr>
            </w:pPr>
            <w:r>
              <w:rPr>
                <w:rFonts w:hint="eastAsia" w:ascii="宋体" w:hAnsi="宋体"/>
                <w:color w:val="auto"/>
                <w:szCs w:val="21"/>
                <w:highlight w:val="none"/>
              </w:rPr>
              <w:t>1</w:t>
            </w:r>
          </w:p>
        </w:tc>
        <w:tc>
          <w:tcPr>
            <w:tcW w:w="2501" w:type="dxa"/>
            <w:vAlign w:val="center"/>
          </w:tcPr>
          <w:p>
            <w:pPr>
              <w:adjustRightInd w:val="0"/>
              <w:snapToGrid w:val="0"/>
              <w:spacing w:line="360" w:lineRule="exact"/>
              <w:jc w:val="center"/>
              <w:rPr>
                <w:rFonts w:ascii="宋体" w:hAnsi="宋体"/>
                <w:color w:val="auto"/>
                <w:szCs w:val="21"/>
                <w:highlight w:val="none"/>
              </w:rPr>
            </w:pPr>
            <w:r>
              <w:rPr>
                <w:rFonts w:hint="eastAsia"/>
                <w:color w:val="auto"/>
                <w:highlight w:val="none"/>
              </w:rPr>
              <w:t>湖南省粮油食品进出口集团有限公司办公大楼601会议室升级改造项目</w:t>
            </w:r>
          </w:p>
        </w:tc>
        <w:tc>
          <w:tcPr>
            <w:tcW w:w="2117" w:type="dxa"/>
            <w:vAlign w:val="center"/>
          </w:tcPr>
          <w:p>
            <w:pPr>
              <w:adjustRightInd w:val="0"/>
              <w:snapToGrid w:val="0"/>
              <w:spacing w:line="360" w:lineRule="exact"/>
              <w:jc w:val="center"/>
              <w:rPr>
                <w:rFonts w:ascii="宋体" w:hAnsi="宋体"/>
                <w:color w:val="auto"/>
                <w:szCs w:val="21"/>
                <w:highlight w:val="none"/>
              </w:rPr>
            </w:pPr>
            <w:r>
              <w:rPr>
                <w:rFonts w:hint="eastAsia" w:ascii="宋体" w:hAnsi="宋体" w:cs="宋体"/>
                <w:bCs/>
                <w:color w:val="auto"/>
                <w:sz w:val="20"/>
                <w:szCs w:val="20"/>
                <w:highlight w:val="none"/>
              </w:rPr>
              <w:t>LED显示系统</w:t>
            </w:r>
          </w:p>
        </w:tc>
        <w:tc>
          <w:tcPr>
            <w:tcW w:w="433" w:type="dxa"/>
            <w:tcBorders>
              <w:left w:val="single" w:color="auto" w:sz="4" w:space="0"/>
            </w:tcBorders>
            <w:vAlign w:val="center"/>
          </w:tcPr>
          <w:p>
            <w:pPr>
              <w:adjustRightInd w:val="0"/>
              <w:snapToGrid w:val="0"/>
              <w:spacing w:line="360" w:lineRule="exact"/>
              <w:jc w:val="center"/>
              <w:rPr>
                <w:rFonts w:ascii="宋体" w:hAnsi="宋体" w:cs="Calibri"/>
                <w:color w:val="auto"/>
                <w:kern w:val="0"/>
                <w:szCs w:val="21"/>
                <w:highlight w:val="none"/>
              </w:rPr>
            </w:pPr>
            <w:r>
              <w:rPr>
                <w:rFonts w:hint="eastAsia" w:ascii="宋体" w:hAnsi="宋体" w:cs="Calibri"/>
                <w:color w:val="auto"/>
                <w:kern w:val="0"/>
                <w:szCs w:val="21"/>
                <w:highlight w:val="none"/>
              </w:rPr>
              <w:t>项</w:t>
            </w:r>
          </w:p>
        </w:tc>
        <w:tc>
          <w:tcPr>
            <w:tcW w:w="483" w:type="dxa"/>
            <w:vAlign w:val="center"/>
          </w:tcPr>
          <w:p>
            <w:pPr>
              <w:adjustRightInd w:val="0"/>
              <w:snapToGrid w:val="0"/>
              <w:spacing w:line="360" w:lineRule="exact"/>
              <w:jc w:val="center"/>
              <w:rPr>
                <w:rFonts w:ascii="宋体" w:hAnsi="宋体"/>
                <w:color w:val="auto"/>
                <w:szCs w:val="21"/>
                <w:highlight w:val="none"/>
              </w:rPr>
            </w:pPr>
            <w:r>
              <w:rPr>
                <w:rFonts w:hint="eastAsia" w:ascii="宋体" w:hAnsi="宋体"/>
                <w:color w:val="auto"/>
                <w:szCs w:val="21"/>
                <w:highlight w:val="none"/>
              </w:rPr>
              <w:t>1</w:t>
            </w:r>
          </w:p>
        </w:tc>
        <w:tc>
          <w:tcPr>
            <w:tcW w:w="1750" w:type="dxa"/>
            <w:vAlign w:val="center"/>
          </w:tcPr>
          <w:p>
            <w:pPr>
              <w:adjustRightInd w:val="0"/>
              <w:snapToGrid w:val="0"/>
              <w:spacing w:line="360" w:lineRule="exact"/>
              <w:jc w:val="center"/>
              <w:rPr>
                <w:rFonts w:ascii="宋体" w:hAnsi="宋体"/>
                <w:color w:val="auto"/>
                <w:szCs w:val="21"/>
                <w:highlight w:val="none"/>
              </w:rPr>
            </w:pPr>
            <w:r>
              <w:rPr>
                <w:rFonts w:hint="eastAsia" w:ascii="宋体" w:hAnsi="宋体"/>
                <w:color w:val="auto"/>
                <w:szCs w:val="21"/>
                <w:highlight w:val="none"/>
              </w:rPr>
              <w:t>合同签订之日起2</w:t>
            </w:r>
            <w:r>
              <w:rPr>
                <w:rFonts w:ascii="宋体" w:hAnsi="宋体"/>
                <w:color w:val="auto"/>
                <w:szCs w:val="21"/>
                <w:highlight w:val="none"/>
              </w:rPr>
              <w:t>0</w:t>
            </w:r>
            <w:r>
              <w:rPr>
                <w:rFonts w:hint="eastAsia" w:ascii="宋体" w:hAnsi="宋体"/>
                <w:color w:val="auto"/>
                <w:szCs w:val="21"/>
                <w:highlight w:val="none"/>
              </w:rPr>
              <w:t>日内交货并安装调试完成</w:t>
            </w:r>
          </w:p>
        </w:tc>
        <w:tc>
          <w:tcPr>
            <w:tcW w:w="1084" w:type="dxa"/>
            <w:vAlign w:val="center"/>
          </w:tcPr>
          <w:p>
            <w:pPr>
              <w:adjustRightInd w:val="0"/>
              <w:snapToGrid w:val="0"/>
              <w:spacing w:line="360" w:lineRule="exact"/>
              <w:jc w:val="center"/>
              <w:rPr>
                <w:rFonts w:ascii="宋体" w:hAnsi="宋体"/>
                <w:color w:val="auto"/>
                <w:szCs w:val="21"/>
                <w:highlight w:val="none"/>
              </w:rPr>
            </w:pPr>
            <w:r>
              <w:rPr>
                <w:rFonts w:hint="eastAsia" w:ascii="宋体" w:hAnsi="宋体"/>
                <w:color w:val="auto"/>
                <w:szCs w:val="21"/>
                <w:highlight w:val="none"/>
              </w:rPr>
              <w:t>采购人指定地点</w:t>
            </w:r>
          </w:p>
        </w:tc>
        <w:tc>
          <w:tcPr>
            <w:tcW w:w="398" w:type="dxa"/>
            <w:vAlign w:val="center"/>
          </w:tcPr>
          <w:p>
            <w:pPr>
              <w:adjustRightInd w:val="0"/>
              <w:snapToGrid w:val="0"/>
              <w:spacing w:line="360" w:lineRule="exact"/>
              <w:jc w:val="center"/>
              <w:rPr>
                <w:rFonts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176" w:hRule="atLeast"/>
          <w:jc w:val="center"/>
        </w:trPr>
        <w:tc>
          <w:tcPr>
            <w:tcW w:w="647" w:type="dxa"/>
            <w:vAlign w:val="center"/>
          </w:tcPr>
          <w:p>
            <w:pPr>
              <w:adjustRightInd w:val="0"/>
              <w:snapToGrid w:val="0"/>
              <w:spacing w:line="360" w:lineRule="exact"/>
              <w:jc w:val="center"/>
              <w:rPr>
                <w:rFonts w:ascii="宋体" w:hAnsi="宋体"/>
                <w:color w:val="auto"/>
                <w:szCs w:val="21"/>
                <w:highlight w:val="none"/>
              </w:rPr>
            </w:pPr>
            <w:r>
              <w:rPr>
                <w:rFonts w:hint="eastAsia" w:ascii="宋体" w:hAnsi="宋体"/>
                <w:color w:val="auto"/>
                <w:szCs w:val="21"/>
                <w:highlight w:val="none"/>
              </w:rPr>
              <w:t>2</w:t>
            </w:r>
          </w:p>
        </w:tc>
        <w:tc>
          <w:tcPr>
            <w:tcW w:w="2501" w:type="dxa"/>
            <w:vAlign w:val="center"/>
          </w:tcPr>
          <w:p>
            <w:pPr>
              <w:adjustRightInd w:val="0"/>
              <w:snapToGrid w:val="0"/>
              <w:spacing w:line="360" w:lineRule="exact"/>
              <w:jc w:val="center"/>
              <w:rPr>
                <w:color w:val="auto"/>
                <w:highlight w:val="none"/>
              </w:rPr>
            </w:pPr>
            <w:r>
              <w:rPr>
                <w:rFonts w:hint="eastAsia"/>
                <w:color w:val="auto"/>
                <w:highlight w:val="none"/>
              </w:rPr>
              <w:t>湖南省粮油食品进出口集团有限公司办公大楼601会议室升级改造项目</w:t>
            </w:r>
          </w:p>
        </w:tc>
        <w:tc>
          <w:tcPr>
            <w:tcW w:w="2117" w:type="dxa"/>
            <w:vAlign w:val="center"/>
          </w:tcPr>
          <w:p>
            <w:pPr>
              <w:adjustRightInd w:val="0"/>
              <w:snapToGrid w:val="0"/>
              <w:spacing w:line="360" w:lineRule="exact"/>
              <w:jc w:val="center"/>
              <w:rPr>
                <w:rFonts w:ascii="宋体" w:hAnsi="宋体"/>
                <w:color w:val="auto"/>
                <w:szCs w:val="21"/>
                <w:highlight w:val="none"/>
              </w:rPr>
            </w:pPr>
            <w:r>
              <w:rPr>
                <w:rFonts w:hint="eastAsia" w:ascii="宋体" w:hAnsi="宋体" w:cs="宋体"/>
                <w:bCs/>
                <w:color w:val="auto"/>
                <w:sz w:val="20"/>
                <w:szCs w:val="20"/>
                <w:highlight w:val="none"/>
              </w:rPr>
              <w:t>扩声系统</w:t>
            </w:r>
          </w:p>
        </w:tc>
        <w:tc>
          <w:tcPr>
            <w:tcW w:w="433" w:type="dxa"/>
            <w:tcBorders>
              <w:left w:val="single" w:color="auto" w:sz="4" w:space="0"/>
            </w:tcBorders>
            <w:vAlign w:val="center"/>
          </w:tcPr>
          <w:p>
            <w:pPr>
              <w:adjustRightInd w:val="0"/>
              <w:snapToGrid w:val="0"/>
              <w:spacing w:line="360" w:lineRule="exact"/>
              <w:jc w:val="center"/>
              <w:rPr>
                <w:rFonts w:ascii="宋体" w:hAnsi="宋体" w:cs="Calibri"/>
                <w:color w:val="auto"/>
                <w:kern w:val="0"/>
                <w:szCs w:val="21"/>
                <w:highlight w:val="none"/>
              </w:rPr>
            </w:pPr>
            <w:r>
              <w:rPr>
                <w:rFonts w:hint="eastAsia" w:ascii="宋体" w:hAnsi="宋体" w:cs="Calibri"/>
                <w:color w:val="auto"/>
                <w:kern w:val="0"/>
                <w:szCs w:val="21"/>
                <w:highlight w:val="none"/>
              </w:rPr>
              <w:t>项</w:t>
            </w:r>
          </w:p>
        </w:tc>
        <w:tc>
          <w:tcPr>
            <w:tcW w:w="483" w:type="dxa"/>
            <w:vAlign w:val="center"/>
          </w:tcPr>
          <w:p>
            <w:pPr>
              <w:adjustRightInd w:val="0"/>
              <w:snapToGrid w:val="0"/>
              <w:spacing w:line="360" w:lineRule="exact"/>
              <w:jc w:val="center"/>
              <w:rPr>
                <w:rFonts w:ascii="宋体" w:hAnsi="宋体"/>
                <w:color w:val="auto"/>
                <w:szCs w:val="21"/>
                <w:highlight w:val="none"/>
              </w:rPr>
            </w:pPr>
            <w:r>
              <w:rPr>
                <w:rFonts w:hint="eastAsia" w:ascii="宋体" w:hAnsi="宋体"/>
                <w:color w:val="auto"/>
                <w:szCs w:val="21"/>
                <w:highlight w:val="none"/>
              </w:rPr>
              <w:t>1</w:t>
            </w:r>
          </w:p>
        </w:tc>
        <w:tc>
          <w:tcPr>
            <w:tcW w:w="1750" w:type="dxa"/>
            <w:vAlign w:val="center"/>
          </w:tcPr>
          <w:p>
            <w:pPr>
              <w:adjustRightInd w:val="0"/>
              <w:snapToGrid w:val="0"/>
              <w:spacing w:line="360" w:lineRule="exact"/>
              <w:jc w:val="center"/>
              <w:rPr>
                <w:rFonts w:ascii="宋体" w:hAnsi="宋体"/>
                <w:color w:val="auto"/>
                <w:szCs w:val="21"/>
                <w:highlight w:val="none"/>
              </w:rPr>
            </w:pPr>
            <w:r>
              <w:rPr>
                <w:rFonts w:hint="eastAsia" w:ascii="宋体" w:hAnsi="宋体"/>
                <w:color w:val="auto"/>
                <w:szCs w:val="21"/>
                <w:highlight w:val="none"/>
              </w:rPr>
              <w:t>合同签订之日起2</w:t>
            </w:r>
            <w:r>
              <w:rPr>
                <w:rFonts w:ascii="宋体" w:hAnsi="宋体"/>
                <w:color w:val="auto"/>
                <w:szCs w:val="21"/>
                <w:highlight w:val="none"/>
              </w:rPr>
              <w:t>0</w:t>
            </w:r>
            <w:r>
              <w:rPr>
                <w:rFonts w:hint="eastAsia" w:ascii="宋体" w:hAnsi="宋体"/>
                <w:color w:val="auto"/>
                <w:szCs w:val="21"/>
                <w:highlight w:val="none"/>
              </w:rPr>
              <w:t>日内交货并安装调试完成</w:t>
            </w:r>
          </w:p>
        </w:tc>
        <w:tc>
          <w:tcPr>
            <w:tcW w:w="1084" w:type="dxa"/>
            <w:vAlign w:val="center"/>
          </w:tcPr>
          <w:p>
            <w:pPr>
              <w:adjustRightInd w:val="0"/>
              <w:snapToGrid w:val="0"/>
              <w:spacing w:line="360" w:lineRule="exact"/>
              <w:jc w:val="center"/>
              <w:rPr>
                <w:rFonts w:ascii="宋体" w:hAnsi="宋体"/>
                <w:color w:val="auto"/>
                <w:szCs w:val="21"/>
                <w:highlight w:val="none"/>
              </w:rPr>
            </w:pPr>
            <w:r>
              <w:rPr>
                <w:rFonts w:hint="eastAsia" w:ascii="宋体" w:hAnsi="宋体"/>
                <w:color w:val="auto"/>
                <w:szCs w:val="21"/>
                <w:highlight w:val="none"/>
              </w:rPr>
              <w:t>采购人指定地点</w:t>
            </w:r>
          </w:p>
        </w:tc>
        <w:tc>
          <w:tcPr>
            <w:tcW w:w="398" w:type="dxa"/>
            <w:vAlign w:val="center"/>
          </w:tcPr>
          <w:p>
            <w:pPr>
              <w:adjustRightInd w:val="0"/>
              <w:snapToGrid w:val="0"/>
              <w:spacing w:line="360" w:lineRule="exact"/>
              <w:jc w:val="center"/>
              <w:rPr>
                <w:rFonts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176" w:hRule="atLeast"/>
          <w:jc w:val="center"/>
        </w:trPr>
        <w:tc>
          <w:tcPr>
            <w:tcW w:w="647" w:type="dxa"/>
            <w:vAlign w:val="center"/>
          </w:tcPr>
          <w:p>
            <w:pPr>
              <w:adjustRightInd w:val="0"/>
              <w:snapToGrid w:val="0"/>
              <w:spacing w:line="360" w:lineRule="exact"/>
              <w:jc w:val="center"/>
              <w:rPr>
                <w:rFonts w:ascii="宋体" w:hAnsi="宋体"/>
                <w:color w:val="auto"/>
                <w:szCs w:val="21"/>
                <w:highlight w:val="none"/>
              </w:rPr>
            </w:pPr>
            <w:r>
              <w:rPr>
                <w:rFonts w:hint="eastAsia" w:ascii="宋体" w:hAnsi="宋体"/>
                <w:color w:val="auto"/>
                <w:szCs w:val="21"/>
                <w:highlight w:val="none"/>
              </w:rPr>
              <w:t>3</w:t>
            </w:r>
          </w:p>
        </w:tc>
        <w:tc>
          <w:tcPr>
            <w:tcW w:w="2501" w:type="dxa"/>
            <w:vAlign w:val="center"/>
          </w:tcPr>
          <w:p>
            <w:pPr>
              <w:adjustRightInd w:val="0"/>
              <w:snapToGrid w:val="0"/>
              <w:spacing w:line="360" w:lineRule="exact"/>
              <w:jc w:val="center"/>
              <w:rPr>
                <w:color w:val="auto"/>
                <w:highlight w:val="none"/>
              </w:rPr>
            </w:pPr>
            <w:r>
              <w:rPr>
                <w:rFonts w:hint="eastAsia"/>
                <w:color w:val="auto"/>
                <w:highlight w:val="none"/>
              </w:rPr>
              <w:t>湖南省粮油食品进出口集团有限公司办公大楼601会议室升级改造项目</w:t>
            </w:r>
          </w:p>
        </w:tc>
        <w:tc>
          <w:tcPr>
            <w:tcW w:w="2117" w:type="dxa"/>
            <w:vAlign w:val="center"/>
          </w:tcPr>
          <w:p>
            <w:pPr>
              <w:adjustRightInd w:val="0"/>
              <w:snapToGrid w:val="0"/>
              <w:spacing w:line="360" w:lineRule="exact"/>
              <w:jc w:val="center"/>
              <w:rPr>
                <w:rFonts w:ascii="宋体" w:hAnsi="宋体"/>
                <w:color w:val="auto"/>
                <w:szCs w:val="21"/>
                <w:highlight w:val="none"/>
              </w:rPr>
            </w:pPr>
            <w:r>
              <w:rPr>
                <w:rFonts w:hint="eastAsia" w:ascii="宋体" w:hAnsi="宋体" w:cs="宋体"/>
                <w:bCs/>
                <w:color w:val="auto"/>
                <w:sz w:val="20"/>
                <w:szCs w:val="20"/>
                <w:highlight w:val="none"/>
              </w:rPr>
              <w:t>无线会议系统</w:t>
            </w:r>
          </w:p>
        </w:tc>
        <w:tc>
          <w:tcPr>
            <w:tcW w:w="433" w:type="dxa"/>
            <w:tcBorders>
              <w:left w:val="single" w:color="auto" w:sz="4" w:space="0"/>
            </w:tcBorders>
            <w:vAlign w:val="center"/>
          </w:tcPr>
          <w:p>
            <w:pPr>
              <w:adjustRightInd w:val="0"/>
              <w:snapToGrid w:val="0"/>
              <w:spacing w:line="360" w:lineRule="exact"/>
              <w:jc w:val="center"/>
              <w:rPr>
                <w:rFonts w:ascii="宋体" w:hAnsi="宋体" w:cs="Calibri"/>
                <w:color w:val="auto"/>
                <w:kern w:val="0"/>
                <w:szCs w:val="21"/>
                <w:highlight w:val="none"/>
              </w:rPr>
            </w:pPr>
            <w:r>
              <w:rPr>
                <w:rFonts w:hint="eastAsia" w:ascii="宋体" w:hAnsi="宋体" w:cs="Calibri"/>
                <w:color w:val="auto"/>
                <w:kern w:val="0"/>
                <w:szCs w:val="21"/>
                <w:highlight w:val="none"/>
              </w:rPr>
              <w:t>项</w:t>
            </w:r>
          </w:p>
        </w:tc>
        <w:tc>
          <w:tcPr>
            <w:tcW w:w="483" w:type="dxa"/>
            <w:vAlign w:val="center"/>
          </w:tcPr>
          <w:p>
            <w:pPr>
              <w:adjustRightInd w:val="0"/>
              <w:snapToGrid w:val="0"/>
              <w:spacing w:line="360" w:lineRule="exact"/>
              <w:jc w:val="center"/>
              <w:rPr>
                <w:rFonts w:ascii="宋体" w:hAnsi="宋体"/>
                <w:color w:val="auto"/>
                <w:szCs w:val="21"/>
                <w:highlight w:val="none"/>
              </w:rPr>
            </w:pPr>
            <w:r>
              <w:rPr>
                <w:rFonts w:hint="eastAsia" w:ascii="宋体" w:hAnsi="宋体"/>
                <w:color w:val="auto"/>
                <w:szCs w:val="21"/>
                <w:highlight w:val="none"/>
              </w:rPr>
              <w:t>1</w:t>
            </w:r>
          </w:p>
        </w:tc>
        <w:tc>
          <w:tcPr>
            <w:tcW w:w="1750" w:type="dxa"/>
            <w:vAlign w:val="center"/>
          </w:tcPr>
          <w:p>
            <w:pPr>
              <w:adjustRightInd w:val="0"/>
              <w:snapToGrid w:val="0"/>
              <w:spacing w:line="360" w:lineRule="exact"/>
              <w:jc w:val="center"/>
              <w:rPr>
                <w:rFonts w:ascii="宋体" w:hAnsi="宋体"/>
                <w:color w:val="auto"/>
                <w:szCs w:val="21"/>
                <w:highlight w:val="none"/>
              </w:rPr>
            </w:pPr>
            <w:r>
              <w:rPr>
                <w:rFonts w:hint="eastAsia" w:ascii="宋体" w:hAnsi="宋体"/>
                <w:color w:val="auto"/>
                <w:szCs w:val="21"/>
                <w:highlight w:val="none"/>
              </w:rPr>
              <w:t>合同签订之日起2</w:t>
            </w:r>
            <w:r>
              <w:rPr>
                <w:rFonts w:ascii="宋体" w:hAnsi="宋体"/>
                <w:color w:val="auto"/>
                <w:szCs w:val="21"/>
                <w:highlight w:val="none"/>
              </w:rPr>
              <w:t>0</w:t>
            </w:r>
            <w:r>
              <w:rPr>
                <w:rFonts w:hint="eastAsia" w:ascii="宋体" w:hAnsi="宋体"/>
                <w:color w:val="auto"/>
                <w:szCs w:val="21"/>
                <w:highlight w:val="none"/>
              </w:rPr>
              <w:t>日内交货并安装调试完成</w:t>
            </w:r>
          </w:p>
        </w:tc>
        <w:tc>
          <w:tcPr>
            <w:tcW w:w="1084" w:type="dxa"/>
            <w:vAlign w:val="center"/>
          </w:tcPr>
          <w:p>
            <w:pPr>
              <w:adjustRightInd w:val="0"/>
              <w:snapToGrid w:val="0"/>
              <w:spacing w:line="360" w:lineRule="exact"/>
              <w:jc w:val="center"/>
              <w:rPr>
                <w:rFonts w:ascii="宋体" w:hAnsi="宋体"/>
                <w:color w:val="auto"/>
                <w:szCs w:val="21"/>
                <w:highlight w:val="none"/>
              </w:rPr>
            </w:pPr>
            <w:r>
              <w:rPr>
                <w:rFonts w:hint="eastAsia" w:ascii="宋体" w:hAnsi="宋体"/>
                <w:color w:val="auto"/>
                <w:szCs w:val="21"/>
                <w:highlight w:val="none"/>
              </w:rPr>
              <w:t>采购人指定地点</w:t>
            </w:r>
          </w:p>
        </w:tc>
        <w:tc>
          <w:tcPr>
            <w:tcW w:w="398" w:type="dxa"/>
            <w:vAlign w:val="center"/>
          </w:tcPr>
          <w:p>
            <w:pPr>
              <w:adjustRightInd w:val="0"/>
              <w:snapToGrid w:val="0"/>
              <w:spacing w:line="360" w:lineRule="exact"/>
              <w:jc w:val="center"/>
              <w:rPr>
                <w:rFonts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176" w:hRule="atLeast"/>
          <w:jc w:val="center"/>
        </w:trPr>
        <w:tc>
          <w:tcPr>
            <w:tcW w:w="647" w:type="dxa"/>
            <w:vAlign w:val="center"/>
          </w:tcPr>
          <w:p>
            <w:pPr>
              <w:adjustRightInd w:val="0"/>
              <w:snapToGrid w:val="0"/>
              <w:spacing w:line="360" w:lineRule="exact"/>
              <w:jc w:val="center"/>
              <w:rPr>
                <w:rFonts w:ascii="宋体" w:hAnsi="宋体"/>
                <w:color w:val="auto"/>
                <w:szCs w:val="21"/>
                <w:highlight w:val="none"/>
              </w:rPr>
            </w:pPr>
            <w:r>
              <w:rPr>
                <w:rFonts w:hint="eastAsia" w:ascii="宋体" w:hAnsi="宋体"/>
                <w:color w:val="auto"/>
                <w:szCs w:val="21"/>
                <w:highlight w:val="none"/>
              </w:rPr>
              <w:t>4</w:t>
            </w:r>
          </w:p>
        </w:tc>
        <w:tc>
          <w:tcPr>
            <w:tcW w:w="2501" w:type="dxa"/>
            <w:vAlign w:val="center"/>
          </w:tcPr>
          <w:p>
            <w:pPr>
              <w:adjustRightInd w:val="0"/>
              <w:snapToGrid w:val="0"/>
              <w:spacing w:line="360" w:lineRule="exact"/>
              <w:jc w:val="center"/>
              <w:rPr>
                <w:color w:val="auto"/>
                <w:highlight w:val="none"/>
              </w:rPr>
            </w:pPr>
            <w:r>
              <w:rPr>
                <w:rFonts w:hint="eastAsia"/>
                <w:color w:val="auto"/>
                <w:highlight w:val="none"/>
              </w:rPr>
              <w:t>湖南省粮油食品进出口集团有限公司办公大楼601会议室升级改造项目</w:t>
            </w:r>
          </w:p>
        </w:tc>
        <w:tc>
          <w:tcPr>
            <w:tcW w:w="2117" w:type="dxa"/>
            <w:vAlign w:val="center"/>
          </w:tcPr>
          <w:p>
            <w:pPr>
              <w:adjustRightInd w:val="0"/>
              <w:snapToGrid w:val="0"/>
              <w:spacing w:line="360" w:lineRule="exact"/>
              <w:jc w:val="center"/>
              <w:rPr>
                <w:rFonts w:ascii="宋体" w:hAnsi="宋体"/>
                <w:color w:val="auto"/>
                <w:szCs w:val="21"/>
                <w:highlight w:val="none"/>
              </w:rPr>
            </w:pPr>
            <w:r>
              <w:rPr>
                <w:rFonts w:hint="eastAsia" w:ascii="宋体" w:hAnsi="宋体" w:cs="宋体"/>
                <w:bCs/>
                <w:color w:val="auto"/>
                <w:sz w:val="20"/>
                <w:szCs w:val="20"/>
                <w:highlight w:val="none"/>
              </w:rPr>
              <w:t>平板无纸化系统</w:t>
            </w:r>
          </w:p>
        </w:tc>
        <w:tc>
          <w:tcPr>
            <w:tcW w:w="433" w:type="dxa"/>
            <w:tcBorders>
              <w:left w:val="single" w:color="auto" w:sz="4" w:space="0"/>
            </w:tcBorders>
            <w:vAlign w:val="center"/>
          </w:tcPr>
          <w:p>
            <w:pPr>
              <w:adjustRightInd w:val="0"/>
              <w:snapToGrid w:val="0"/>
              <w:spacing w:line="360" w:lineRule="exact"/>
              <w:jc w:val="center"/>
              <w:rPr>
                <w:rFonts w:ascii="宋体" w:hAnsi="宋体" w:cs="Calibri"/>
                <w:color w:val="auto"/>
                <w:kern w:val="0"/>
                <w:szCs w:val="21"/>
                <w:highlight w:val="none"/>
              </w:rPr>
            </w:pPr>
            <w:r>
              <w:rPr>
                <w:rFonts w:hint="eastAsia" w:ascii="宋体" w:hAnsi="宋体" w:cs="Calibri"/>
                <w:color w:val="auto"/>
                <w:kern w:val="0"/>
                <w:szCs w:val="21"/>
                <w:highlight w:val="none"/>
              </w:rPr>
              <w:t>项</w:t>
            </w:r>
          </w:p>
        </w:tc>
        <w:tc>
          <w:tcPr>
            <w:tcW w:w="483" w:type="dxa"/>
            <w:vAlign w:val="center"/>
          </w:tcPr>
          <w:p>
            <w:pPr>
              <w:adjustRightInd w:val="0"/>
              <w:snapToGrid w:val="0"/>
              <w:spacing w:line="360" w:lineRule="exact"/>
              <w:jc w:val="center"/>
              <w:rPr>
                <w:rFonts w:ascii="宋体" w:hAnsi="宋体"/>
                <w:color w:val="auto"/>
                <w:szCs w:val="21"/>
                <w:highlight w:val="none"/>
              </w:rPr>
            </w:pPr>
            <w:r>
              <w:rPr>
                <w:rFonts w:hint="eastAsia" w:ascii="宋体" w:hAnsi="宋体"/>
                <w:color w:val="auto"/>
                <w:szCs w:val="21"/>
                <w:highlight w:val="none"/>
              </w:rPr>
              <w:t>1</w:t>
            </w:r>
          </w:p>
        </w:tc>
        <w:tc>
          <w:tcPr>
            <w:tcW w:w="1750" w:type="dxa"/>
            <w:vAlign w:val="center"/>
          </w:tcPr>
          <w:p>
            <w:pPr>
              <w:adjustRightInd w:val="0"/>
              <w:snapToGrid w:val="0"/>
              <w:spacing w:line="360" w:lineRule="exact"/>
              <w:jc w:val="center"/>
              <w:rPr>
                <w:rFonts w:ascii="宋体" w:hAnsi="宋体"/>
                <w:color w:val="auto"/>
                <w:szCs w:val="21"/>
                <w:highlight w:val="none"/>
              </w:rPr>
            </w:pPr>
            <w:r>
              <w:rPr>
                <w:rFonts w:hint="eastAsia" w:ascii="宋体" w:hAnsi="宋体"/>
                <w:color w:val="auto"/>
                <w:szCs w:val="21"/>
                <w:highlight w:val="none"/>
              </w:rPr>
              <w:t>合同签订之日起2</w:t>
            </w:r>
            <w:r>
              <w:rPr>
                <w:rFonts w:ascii="宋体" w:hAnsi="宋体"/>
                <w:color w:val="auto"/>
                <w:szCs w:val="21"/>
                <w:highlight w:val="none"/>
              </w:rPr>
              <w:t>0</w:t>
            </w:r>
            <w:r>
              <w:rPr>
                <w:rFonts w:hint="eastAsia" w:ascii="宋体" w:hAnsi="宋体"/>
                <w:color w:val="auto"/>
                <w:szCs w:val="21"/>
                <w:highlight w:val="none"/>
              </w:rPr>
              <w:t>日内交货并安装调试完成</w:t>
            </w:r>
          </w:p>
        </w:tc>
        <w:tc>
          <w:tcPr>
            <w:tcW w:w="1084" w:type="dxa"/>
            <w:vAlign w:val="center"/>
          </w:tcPr>
          <w:p>
            <w:pPr>
              <w:adjustRightInd w:val="0"/>
              <w:snapToGrid w:val="0"/>
              <w:spacing w:line="360" w:lineRule="exact"/>
              <w:jc w:val="center"/>
              <w:rPr>
                <w:rFonts w:ascii="宋体" w:hAnsi="宋体"/>
                <w:color w:val="auto"/>
                <w:szCs w:val="21"/>
                <w:highlight w:val="none"/>
              </w:rPr>
            </w:pPr>
            <w:r>
              <w:rPr>
                <w:rFonts w:hint="eastAsia" w:ascii="宋体" w:hAnsi="宋体"/>
                <w:color w:val="auto"/>
                <w:szCs w:val="21"/>
                <w:highlight w:val="none"/>
              </w:rPr>
              <w:t>采购人指定地点</w:t>
            </w:r>
          </w:p>
        </w:tc>
        <w:tc>
          <w:tcPr>
            <w:tcW w:w="398" w:type="dxa"/>
            <w:vAlign w:val="center"/>
          </w:tcPr>
          <w:p>
            <w:pPr>
              <w:adjustRightInd w:val="0"/>
              <w:snapToGrid w:val="0"/>
              <w:spacing w:line="360" w:lineRule="exact"/>
              <w:jc w:val="center"/>
              <w:rPr>
                <w:rFonts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176" w:hRule="atLeast"/>
          <w:jc w:val="center"/>
        </w:trPr>
        <w:tc>
          <w:tcPr>
            <w:tcW w:w="647" w:type="dxa"/>
            <w:vAlign w:val="center"/>
          </w:tcPr>
          <w:p>
            <w:pPr>
              <w:adjustRightInd w:val="0"/>
              <w:snapToGrid w:val="0"/>
              <w:spacing w:line="360" w:lineRule="exact"/>
              <w:jc w:val="center"/>
              <w:rPr>
                <w:rFonts w:ascii="宋体" w:hAnsi="宋体"/>
                <w:color w:val="auto"/>
                <w:szCs w:val="21"/>
                <w:highlight w:val="none"/>
              </w:rPr>
            </w:pPr>
            <w:r>
              <w:rPr>
                <w:rFonts w:hint="eastAsia" w:ascii="宋体" w:hAnsi="宋体"/>
                <w:color w:val="auto"/>
                <w:szCs w:val="21"/>
                <w:highlight w:val="none"/>
              </w:rPr>
              <w:t>5</w:t>
            </w:r>
          </w:p>
        </w:tc>
        <w:tc>
          <w:tcPr>
            <w:tcW w:w="2501" w:type="dxa"/>
            <w:vAlign w:val="center"/>
          </w:tcPr>
          <w:p>
            <w:pPr>
              <w:adjustRightInd w:val="0"/>
              <w:snapToGrid w:val="0"/>
              <w:spacing w:line="360" w:lineRule="exact"/>
              <w:jc w:val="center"/>
              <w:rPr>
                <w:color w:val="auto"/>
                <w:highlight w:val="none"/>
              </w:rPr>
            </w:pPr>
            <w:r>
              <w:rPr>
                <w:rFonts w:hint="eastAsia"/>
                <w:color w:val="auto"/>
                <w:highlight w:val="none"/>
              </w:rPr>
              <w:t>湖南省粮油食品进出口集团有限公司办公大楼601会议室升级改造项目</w:t>
            </w:r>
          </w:p>
        </w:tc>
        <w:tc>
          <w:tcPr>
            <w:tcW w:w="2117" w:type="dxa"/>
            <w:vAlign w:val="center"/>
          </w:tcPr>
          <w:p>
            <w:pPr>
              <w:adjustRightInd w:val="0"/>
              <w:snapToGrid w:val="0"/>
              <w:spacing w:line="360" w:lineRule="exact"/>
              <w:jc w:val="center"/>
              <w:rPr>
                <w:rFonts w:ascii="宋体" w:hAnsi="宋体"/>
                <w:color w:val="auto"/>
                <w:szCs w:val="21"/>
                <w:highlight w:val="none"/>
              </w:rPr>
            </w:pPr>
            <w:r>
              <w:rPr>
                <w:rFonts w:hint="eastAsia" w:ascii="宋体" w:hAnsi="宋体" w:cs="宋体"/>
                <w:bCs/>
                <w:color w:val="auto"/>
                <w:sz w:val="20"/>
                <w:szCs w:val="20"/>
                <w:highlight w:val="none"/>
              </w:rPr>
              <w:t>中央控制系统</w:t>
            </w:r>
          </w:p>
        </w:tc>
        <w:tc>
          <w:tcPr>
            <w:tcW w:w="433" w:type="dxa"/>
            <w:tcBorders>
              <w:left w:val="single" w:color="auto" w:sz="4" w:space="0"/>
            </w:tcBorders>
            <w:vAlign w:val="center"/>
          </w:tcPr>
          <w:p>
            <w:pPr>
              <w:adjustRightInd w:val="0"/>
              <w:snapToGrid w:val="0"/>
              <w:spacing w:line="360" w:lineRule="exact"/>
              <w:jc w:val="center"/>
              <w:rPr>
                <w:rFonts w:ascii="宋体" w:hAnsi="宋体" w:cs="Calibri"/>
                <w:color w:val="auto"/>
                <w:kern w:val="0"/>
                <w:szCs w:val="21"/>
                <w:highlight w:val="none"/>
              </w:rPr>
            </w:pPr>
            <w:r>
              <w:rPr>
                <w:rFonts w:hint="eastAsia" w:ascii="宋体" w:hAnsi="宋体" w:cs="Calibri"/>
                <w:color w:val="auto"/>
                <w:kern w:val="0"/>
                <w:szCs w:val="21"/>
                <w:highlight w:val="none"/>
              </w:rPr>
              <w:t>项</w:t>
            </w:r>
          </w:p>
        </w:tc>
        <w:tc>
          <w:tcPr>
            <w:tcW w:w="483" w:type="dxa"/>
            <w:vAlign w:val="center"/>
          </w:tcPr>
          <w:p>
            <w:pPr>
              <w:adjustRightInd w:val="0"/>
              <w:snapToGrid w:val="0"/>
              <w:spacing w:line="360" w:lineRule="exact"/>
              <w:jc w:val="center"/>
              <w:rPr>
                <w:rFonts w:ascii="宋体" w:hAnsi="宋体"/>
                <w:color w:val="auto"/>
                <w:szCs w:val="21"/>
                <w:highlight w:val="none"/>
              </w:rPr>
            </w:pPr>
            <w:r>
              <w:rPr>
                <w:rFonts w:hint="eastAsia" w:ascii="宋体" w:hAnsi="宋体"/>
                <w:color w:val="auto"/>
                <w:szCs w:val="21"/>
                <w:highlight w:val="none"/>
              </w:rPr>
              <w:t>1</w:t>
            </w:r>
          </w:p>
        </w:tc>
        <w:tc>
          <w:tcPr>
            <w:tcW w:w="1750" w:type="dxa"/>
            <w:vAlign w:val="center"/>
          </w:tcPr>
          <w:p>
            <w:pPr>
              <w:adjustRightInd w:val="0"/>
              <w:snapToGrid w:val="0"/>
              <w:spacing w:line="360" w:lineRule="exact"/>
              <w:jc w:val="center"/>
              <w:rPr>
                <w:rFonts w:ascii="宋体" w:hAnsi="宋体"/>
                <w:color w:val="auto"/>
                <w:szCs w:val="21"/>
                <w:highlight w:val="none"/>
              </w:rPr>
            </w:pPr>
            <w:r>
              <w:rPr>
                <w:rFonts w:hint="eastAsia" w:ascii="宋体" w:hAnsi="宋体"/>
                <w:color w:val="auto"/>
                <w:szCs w:val="21"/>
                <w:highlight w:val="none"/>
              </w:rPr>
              <w:t>合同签订之日起2</w:t>
            </w:r>
            <w:r>
              <w:rPr>
                <w:rFonts w:ascii="宋体" w:hAnsi="宋体"/>
                <w:color w:val="auto"/>
                <w:szCs w:val="21"/>
                <w:highlight w:val="none"/>
              </w:rPr>
              <w:t>0</w:t>
            </w:r>
            <w:r>
              <w:rPr>
                <w:rFonts w:hint="eastAsia" w:ascii="宋体" w:hAnsi="宋体"/>
                <w:color w:val="auto"/>
                <w:szCs w:val="21"/>
                <w:highlight w:val="none"/>
              </w:rPr>
              <w:t>日内交货并安装调试完成</w:t>
            </w:r>
          </w:p>
        </w:tc>
        <w:tc>
          <w:tcPr>
            <w:tcW w:w="1084" w:type="dxa"/>
            <w:vAlign w:val="center"/>
          </w:tcPr>
          <w:p>
            <w:pPr>
              <w:adjustRightInd w:val="0"/>
              <w:snapToGrid w:val="0"/>
              <w:spacing w:line="360" w:lineRule="exact"/>
              <w:jc w:val="center"/>
              <w:rPr>
                <w:rFonts w:ascii="宋体" w:hAnsi="宋体"/>
                <w:color w:val="auto"/>
                <w:szCs w:val="21"/>
                <w:highlight w:val="none"/>
              </w:rPr>
            </w:pPr>
            <w:r>
              <w:rPr>
                <w:rFonts w:hint="eastAsia" w:ascii="宋体" w:hAnsi="宋体"/>
                <w:color w:val="auto"/>
                <w:szCs w:val="21"/>
                <w:highlight w:val="none"/>
              </w:rPr>
              <w:t>采购人指定地点</w:t>
            </w:r>
          </w:p>
        </w:tc>
        <w:tc>
          <w:tcPr>
            <w:tcW w:w="398" w:type="dxa"/>
            <w:vAlign w:val="center"/>
          </w:tcPr>
          <w:p>
            <w:pPr>
              <w:adjustRightInd w:val="0"/>
              <w:snapToGrid w:val="0"/>
              <w:spacing w:line="360" w:lineRule="exact"/>
              <w:jc w:val="center"/>
              <w:rPr>
                <w:rFonts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176" w:hRule="atLeast"/>
          <w:jc w:val="center"/>
        </w:trPr>
        <w:tc>
          <w:tcPr>
            <w:tcW w:w="647" w:type="dxa"/>
            <w:vAlign w:val="center"/>
          </w:tcPr>
          <w:p>
            <w:pPr>
              <w:adjustRightInd w:val="0"/>
              <w:snapToGrid w:val="0"/>
              <w:spacing w:line="360" w:lineRule="exact"/>
              <w:jc w:val="center"/>
              <w:rPr>
                <w:rFonts w:ascii="宋体" w:hAnsi="宋体"/>
                <w:color w:val="auto"/>
                <w:szCs w:val="21"/>
                <w:highlight w:val="none"/>
              </w:rPr>
            </w:pPr>
            <w:r>
              <w:rPr>
                <w:rFonts w:hint="eastAsia" w:ascii="宋体" w:hAnsi="宋体"/>
                <w:color w:val="auto"/>
                <w:szCs w:val="21"/>
                <w:highlight w:val="none"/>
              </w:rPr>
              <w:t>6</w:t>
            </w:r>
          </w:p>
        </w:tc>
        <w:tc>
          <w:tcPr>
            <w:tcW w:w="2501" w:type="dxa"/>
            <w:vAlign w:val="center"/>
          </w:tcPr>
          <w:p>
            <w:pPr>
              <w:adjustRightInd w:val="0"/>
              <w:snapToGrid w:val="0"/>
              <w:spacing w:line="360" w:lineRule="exact"/>
              <w:jc w:val="center"/>
              <w:rPr>
                <w:color w:val="auto"/>
                <w:highlight w:val="none"/>
              </w:rPr>
            </w:pPr>
            <w:r>
              <w:rPr>
                <w:rFonts w:hint="eastAsia"/>
                <w:color w:val="auto"/>
                <w:highlight w:val="none"/>
              </w:rPr>
              <w:t>湖南省粮油食品进出口集团有限公司办公大楼601会议室升级改造项目</w:t>
            </w:r>
          </w:p>
        </w:tc>
        <w:tc>
          <w:tcPr>
            <w:tcW w:w="2117" w:type="dxa"/>
            <w:vAlign w:val="center"/>
          </w:tcPr>
          <w:p>
            <w:pPr>
              <w:adjustRightInd w:val="0"/>
              <w:snapToGrid w:val="0"/>
              <w:spacing w:line="360" w:lineRule="exact"/>
              <w:jc w:val="center"/>
              <w:rPr>
                <w:rFonts w:ascii="宋体" w:hAnsi="宋体" w:cs="宋体"/>
                <w:bCs/>
                <w:color w:val="auto"/>
                <w:sz w:val="20"/>
                <w:szCs w:val="20"/>
                <w:highlight w:val="none"/>
              </w:rPr>
            </w:pPr>
            <w:r>
              <w:rPr>
                <w:rFonts w:hint="eastAsia" w:ascii="宋体" w:hAnsi="宋体" w:cs="宋体"/>
                <w:bCs/>
                <w:color w:val="auto"/>
                <w:sz w:val="20"/>
                <w:szCs w:val="20"/>
                <w:highlight w:val="none"/>
              </w:rPr>
              <w:t>装饰装修</w:t>
            </w:r>
          </w:p>
        </w:tc>
        <w:tc>
          <w:tcPr>
            <w:tcW w:w="433" w:type="dxa"/>
            <w:tcBorders>
              <w:left w:val="single" w:color="auto" w:sz="4" w:space="0"/>
            </w:tcBorders>
            <w:vAlign w:val="center"/>
          </w:tcPr>
          <w:p>
            <w:pPr>
              <w:adjustRightInd w:val="0"/>
              <w:snapToGrid w:val="0"/>
              <w:spacing w:line="360" w:lineRule="exact"/>
              <w:jc w:val="center"/>
              <w:rPr>
                <w:rFonts w:ascii="宋体" w:hAnsi="宋体" w:cs="Calibri"/>
                <w:color w:val="auto"/>
                <w:kern w:val="0"/>
                <w:szCs w:val="21"/>
                <w:highlight w:val="none"/>
              </w:rPr>
            </w:pPr>
            <w:r>
              <w:rPr>
                <w:rFonts w:hint="eastAsia" w:ascii="宋体" w:hAnsi="宋体" w:cs="Calibri"/>
                <w:color w:val="auto"/>
                <w:kern w:val="0"/>
                <w:szCs w:val="21"/>
                <w:highlight w:val="none"/>
              </w:rPr>
              <w:t>项</w:t>
            </w:r>
          </w:p>
        </w:tc>
        <w:tc>
          <w:tcPr>
            <w:tcW w:w="483" w:type="dxa"/>
            <w:vAlign w:val="center"/>
          </w:tcPr>
          <w:p>
            <w:pPr>
              <w:adjustRightInd w:val="0"/>
              <w:snapToGrid w:val="0"/>
              <w:spacing w:line="360" w:lineRule="exact"/>
              <w:jc w:val="center"/>
              <w:rPr>
                <w:rFonts w:ascii="宋体" w:hAnsi="宋体"/>
                <w:color w:val="auto"/>
                <w:szCs w:val="21"/>
                <w:highlight w:val="none"/>
              </w:rPr>
            </w:pPr>
            <w:r>
              <w:rPr>
                <w:rFonts w:hint="eastAsia" w:ascii="宋体" w:hAnsi="宋体"/>
                <w:color w:val="auto"/>
                <w:szCs w:val="21"/>
                <w:highlight w:val="none"/>
              </w:rPr>
              <w:t>1</w:t>
            </w:r>
          </w:p>
        </w:tc>
        <w:tc>
          <w:tcPr>
            <w:tcW w:w="1750" w:type="dxa"/>
            <w:vAlign w:val="center"/>
          </w:tcPr>
          <w:p>
            <w:pPr>
              <w:adjustRightInd w:val="0"/>
              <w:snapToGrid w:val="0"/>
              <w:spacing w:line="360" w:lineRule="exact"/>
              <w:jc w:val="center"/>
              <w:rPr>
                <w:rFonts w:ascii="宋体" w:hAnsi="宋体"/>
                <w:color w:val="auto"/>
                <w:szCs w:val="21"/>
                <w:highlight w:val="none"/>
              </w:rPr>
            </w:pPr>
            <w:r>
              <w:rPr>
                <w:rFonts w:hint="eastAsia" w:ascii="宋体" w:hAnsi="宋体"/>
                <w:color w:val="auto"/>
                <w:szCs w:val="21"/>
                <w:highlight w:val="none"/>
              </w:rPr>
              <w:t>合同签订之日起2</w:t>
            </w:r>
            <w:r>
              <w:rPr>
                <w:rFonts w:ascii="宋体" w:hAnsi="宋体"/>
                <w:color w:val="auto"/>
                <w:szCs w:val="21"/>
                <w:highlight w:val="none"/>
              </w:rPr>
              <w:t>0</w:t>
            </w:r>
            <w:r>
              <w:rPr>
                <w:rFonts w:hint="eastAsia" w:ascii="宋体" w:hAnsi="宋体"/>
                <w:color w:val="auto"/>
                <w:szCs w:val="21"/>
                <w:highlight w:val="none"/>
              </w:rPr>
              <w:t>日内交货并安装调试完成</w:t>
            </w:r>
          </w:p>
        </w:tc>
        <w:tc>
          <w:tcPr>
            <w:tcW w:w="1084" w:type="dxa"/>
            <w:vAlign w:val="center"/>
          </w:tcPr>
          <w:p>
            <w:pPr>
              <w:adjustRightInd w:val="0"/>
              <w:snapToGrid w:val="0"/>
              <w:spacing w:line="360" w:lineRule="exact"/>
              <w:jc w:val="center"/>
              <w:rPr>
                <w:rFonts w:ascii="宋体" w:hAnsi="宋体"/>
                <w:color w:val="auto"/>
                <w:szCs w:val="21"/>
                <w:highlight w:val="none"/>
              </w:rPr>
            </w:pPr>
            <w:r>
              <w:rPr>
                <w:rFonts w:hint="eastAsia" w:ascii="宋体" w:hAnsi="宋体"/>
                <w:color w:val="auto"/>
                <w:szCs w:val="21"/>
                <w:highlight w:val="none"/>
              </w:rPr>
              <w:t>采购人指定地点</w:t>
            </w:r>
          </w:p>
        </w:tc>
        <w:tc>
          <w:tcPr>
            <w:tcW w:w="398" w:type="dxa"/>
            <w:vAlign w:val="center"/>
          </w:tcPr>
          <w:p>
            <w:pPr>
              <w:adjustRightInd w:val="0"/>
              <w:snapToGrid w:val="0"/>
              <w:spacing w:line="360" w:lineRule="exact"/>
              <w:jc w:val="center"/>
              <w:rPr>
                <w:rFonts w:ascii="宋体" w:hAnsi="宋体"/>
                <w:color w:val="auto"/>
                <w:szCs w:val="21"/>
                <w:highlight w:val="none"/>
              </w:rPr>
            </w:pPr>
          </w:p>
        </w:tc>
      </w:tr>
    </w:tbl>
    <w:p>
      <w:pPr>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注：1、“包”为最小合同单位。每“包”内容应细化到“品目”（如果分品目的）。</w:t>
      </w:r>
    </w:p>
    <w:p>
      <w:pPr>
        <w:adjustRightInd w:val="0"/>
        <w:snapToGrid w:val="0"/>
        <w:spacing w:before="120" w:beforeLines="50" w:line="360" w:lineRule="auto"/>
        <w:ind w:firstLine="420" w:firstLineChars="200"/>
        <w:rPr>
          <w:rFonts w:ascii="宋体" w:hAnsi="宋体" w:cs="宋体"/>
          <w:color w:val="auto"/>
          <w:kern w:val="0"/>
          <w:szCs w:val="21"/>
          <w:highlight w:val="none"/>
        </w:rPr>
      </w:pPr>
      <w:r>
        <w:rPr>
          <w:rFonts w:hint="eastAsia" w:ascii="宋体" w:hAnsi="宋体"/>
          <w:color w:val="auto"/>
          <w:szCs w:val="21"/>
          <w:highlight w:val="none"/>
        </w:rPr>
        <w:t>2、货物的主要技术参数或规格：</w:t>
      </w:r>
      <w:r>
        <w:rPr>
          <w:rFonts w:ascii="宋体" w:hAnsi="宋体" w:cs="宋体"/>
          <w:color w:val="auto"/>
          <w:kern w:val="0"/>
          <w:szCs w:val="21"/>
          <w:highlight w:val="none"/>
        </w:rPr>
        <w:t>详见“技术要求”中的具体技术参数</w:t>
      </w:r>
      <w:r>
        <w:rPr>
          <w:rFonts w:hint="eastAsia" w:ascii="宋体" w:hAnsi="宋体" w:cs="宋体"/>
          <w:color w:val="auto"/>
          <w:kern w:val="0"/>
          <w:szCs w:val="21"/>
          <w:highlight w:val="none"/>
        </w:rPr>
        <w:t>。</w:t>
      </w:r>
    </w:p>
    <w:p>
      <w:pPr>
        <w:adjustRightInd w:val="0"/>
        <w:snapToGrid w:val="0"/>
        <w:spacing w:before="120" w:beforeLines="50" w:line="360" w:lineRule="auto"/>
        <w:ind w:firstLine="420" w:firstLineChars="200"/>
        <w:rPr>
          <w:rFonts w:ascii="宋体" w:hAnsi="宋体"/>
          <w:color w:val="auto"/>
          <w:sz w:val="28"/>
          <w:szCs w:val="28"/>
          <w:highlight w:val="none"/>
        </w:rPr>
      </w:pPr>
      <w:r>
        <w:rPr>
          <w:rFonts w:hint="eastAsia" w:ascii="宋体" w:hAnsi="宋体" w:cs="宋体"/>
          <w:bCs/>
          <w:color w:val="auto"/>
          <w:kern w:val="0"/>
          <w:szCs w:val="21"/>
          <w:highlight w:val="none"/>
        </w:rPr>
        <w:t>3、供应商应</w:t>
      </w:r>
      <w:r>
        <w:rPr>
          <w:rFonts w:hint="eastAsia" w:ascii="宋体" w:hAnsi="宋体" w:cs="宋体"/>
          <w:color w:val="auto"/>
          <w:kern w:val="0"/>
          <w:szCs w:val="21"/>
          <w:highlight w:val="none"/>
        </w:rPr>
        <w:t>在响应文件“分项报价明细表”中按</w:t>
      </w:r>
      <w:r>
        <w:rPr>
          <w:rFonts w:hint="eastAsia" w:ascii="宋体" w:hAnsi="宋体"/>
          <w:color w:val="auto"/>
          <w:szCs w:val="21"/>
          <w:highlight w:val="none"/>
        </w:rPr>
        <w:t>分项项目名称（包括</w:t>
      </w:r>
      <w:r>
        <w:rPr>
          <w:rFonts w:hint="eastAsia" w:ascii="宋体" w:hAnsi="宋体" w:cs="宋体"/>
          <w:color w:val="auto"/>
          <w:kern w:val="0"/>
          <w:szCs w:val="21"/>
          <w:highlight w:val="none"/>
        </w:rPr>
        <w:t>条目号/品目名称）顺序逐项填写，且每个品目中的条目均需按磋商文件规定报价。如有缺项、漏项，其</w:t>
      </w:r>
      <w:r>
        <w:rPr>
          <w:rFonts w:hint="eastAsia" w:ascii="宋体" w:hAnsi="宋体" w:cs="宋体"/>
          <w:b/>
          <w:color w:val="auto"/>
          <w:kern w:val="0"/>
          <w:szCs w:val="21"/>
          <w:highlight w:val="none"/>
        </w:rPr>
        <w:t>响应无效</w:t>
      </w:r>
      <w:r>
        <w:rPr>
          <w:rFonts w:hint="eastAsia" w:ascii="宋体" w:hAnsi="宋体" w:cs="宋体"/>
          <w:color w:val="auto"/>
          <w:kern w:val="0"/>
          <w:szCs w:val="21"/>
          <w:highlight w:val="none"/>
        </w:rPr>
        <w:t>。</w:t>
      </w:r>
    </w:p>
    <w:p>
      <w:pPr>
        <w:rPr>
          <w:rFonts w:ascii="宋体" w:hAnsi="宋体"/>
          <w:color w:val="auto"/>
          <w:sz w:val="28"/>
          <w:szCs w:val="28"/>
          <w:highlight w:val="none"/>
        </w:rPr>
      </w:pPr>
      <w:bookmarkStart w:id="29" w:name="_Toc106890514"/>
    </w:p>
    <w:p>
      <w:pPr>
        <w:rPr>
          <w:rFonts w:ascii="宋体" w:hAnsi="宋体"/>
          <w:color w:val="auto"/>
          <w:sz w:val="28"/>
          <w:szCs w:val="28"/>
          <w:highlight w:val="none"/>
        </w:rPr>
      </w:pPr>
      <w:r>
        <w:rPr>
          <w:rFonts w:ascii="宋体" w:hAnsi="宋体"/>
          <w:color w:val="auto"/>
          <w:sz w:val="28"/>
          <w:szCs w:val="28"/>
          <w:highlight w:val="none"/>
        </w:rPr>
        <w:br w:type="page"/>
      </w:r>
    </w:p>
    <w:p>
      <w:pPr>
        <w:pStyle w:val="3"/>
        <w:numPr>
          <w:ilvl w:val="0"/>
          <w:numId w:val="1"/>
        </w:numPr>
        <w:tabs>
          <w:tab w:val="left" w:pos="567"/>
        </w:tabs>
        <w:adjustRightInd w:val="0"/>
        <w:snapToGrid w:val="0"/>
        <w:spacing w:before="120" w:beforeLines="50"/>
        <w:jc w:val="center"/>
        <w:rPr>
          <w:rFonts w:ascii="宋体" w:hAnsi="宋体"/>
          <w:color w:val="auto"/>
          <w:sz w:val="28"/>
          <w:szCs w:val="28"/>
          <w:highlight w:val="none"/>
        </w:rPr>
      </w:pPr>
      <w:r>
        <w:rPr>
          <w:rFonts w:ascii="宋体" w:hAnsi="宋体"/>
          <w:color w:val="auto"/>
          <w:sz w:val="28"/>
          <w:szCs w:val="28"/>
          <w:highlight w:val="none"/>
        </w:rPr>
        <w:t>技术要求</w:t>
      </w:r>
      <w:bookmarkEnd w:id="29"/>
      <w:bookmarkStart w:id="30" w:name="_Toc93673878"/>
    </w:p>
    <w:bookmarkEnd w:id="30"/>
    <w:p>
      <w:pPr>
        <w:spacing w:line="360" w:lineRule="auto"/>
        <w:contextualSpacing/>
        <w:rPr>
          <w:rFonts w:ascii="宋体" w:hAnsi="宋体"/>
          <w:color w:val="auto"/>
          <w:sz w:val="24"/>
          <w:highlight w:val="none"/>
        </w:rPr>
      </w:pPr>
      <w:r>
        <w:rPr>
          <w:rFonts w:hint="eastAsia" w:ascii="宋体" w:hAnsi="宋体" w:cs="宋体"/>
          <w:b/>
          <w:bCs/>
          <w:color w:val="auto"/>
          <w:szCs w:val="21"/>
          <w:highlight w:val="none"/>
        </w:rPr>
        <w:t>一、</w:t>
      </w:r>
      <w:r>
        <w:rPr>
          <w:rFonts w:hint="eastAsia" w:ascii="宋体" w:hAnsi="宋体"/>
          <w:b/>
          <w:color w:val="auto"/>
          <w:szCs w:val="21"/>
          <w:highlight w:val="none"/>
        </w:rPr>
        <w:t>采购清单与技术参数要求</w:t>
      </w:r>
    </w:p>
    <w:tbl>
      <w:tblPr>
        <w:tblStyle w:val="37"/>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569"/>
        <w:gridCol w:w="6241"/>
        <w:gridCol w:w="698"/>
        <w:gridCol w:w="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650" w:type="dxa"/>
            <w:shd w:val="clear" w:color="auto" w:fill="auto"/>
            <w:noWrap/>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序号</w:t>
            </w:r>
          </w:p>
        </w:tc>
        <w:tc>
          <w:tcPr>
            <w:tcW w:w="1569" w:type="dxa"/>
            <w:shd w:val="clear" w:color="auto" w:fill="auto"/>
            <w:noWrap/>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设备名称</w:t>
            </w:r>
          </w:p>
        </w:tc>
        <w:tc>
          <w:tcPr>
            <w:tcW w:w="6241" w:type="dxa"/>
            <w:shd w:val="clear" w:color="auto" w:fill="auto"/>
            <w:noWrap/>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技术参数</w:t>
            </w:r>
          </w:p>
        </w:tc>
        <w:tc>
          <w:tcPr>
            <w:tcW w:w="698" w:type="dxa"/>
            <w:shd w:val="clear" w:color="auto" w:fill="auto"/>
            <w:noWrap/>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数量</w:t>
            </w:r>
          </w:p>
        </w:tc>
        <w:tc>
          <w:tcPr>
            <w:tcW w:w="693" w:type="dxa"/>
            <w:shd w:val="clear" w:color="auto" w:fill="auto"/>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460" w:type="dxa"/>
            <w:gridSpan w:val="3"/>
            <w:shd w:val="clear" w:color="auto" w:fill="E2EFDA"/>
            <w:noWrap/>
            <w:vAlign w:val="center"/>
          </w:tcPr>
          <w:p>
            <w:pPr>
              <w:widowControl/>
              <w:jc w:val="left"/>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一、LED显示系统</w:t>
            </w:r>
          </w:p>
        </w:tc>
        <w:tc>
          <w:tcPr>
            <w:tcW w:w="1391" w:type="dxa"/>
            <w:gridSpan w:val="2"/>
            <w:shd w:val="clear" w:color="auto" w:fill="E2EFDA"/>
            <w:noWrap/>
            <w:vAlign w:val="center"/>
          </w:tcPr>
          <w:p>
            <w:pPr>
              <w:jc w:val="center"/>
              <w:rPr>
                <w:rFonts w:ascii="宋体" w:hAnsi="宋体" w:cs="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6" w:hRule="atLeast"/>
          <w:jc w:val="center"/>
        </w:trPr>
        <w:tc>
          <w:tcPr>
            <w:tcW w:w="650"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1</w:t>
            </w:r>
          </w:p>
        </w:tc>
        <w:tc>
          <w:tcPr>
            <w:tcW w:w="1569"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LED显示屏</w:t>
            </w:r>
          </w:p>
        </w:tc>
        <w:tc>
          <w:tcPr>
            <w:tcW w:w="6241" w:type="dxa"/>
            <w:shd w:val="clear" w:color="auto" w:fill="auto"/>
            <w:vAlign w:val="center"/>
          </w:tcPr>
          <w:p>
            <w:pPr>
              <w:widowControl/>
              <w:numPr>
                <w:ilvl w:val="0"/>
                <w:numId w:val="0"/>
              </w:numPr>
              <w:textAlignment w:val="center"/>
              <w:rPr>
                <w:ins w:id="0" w:author="Administrator" w:date="2024-07-16T00:02:39Z"/>
                <w:rStyle w:val="408"/>
                <w:rFonts w:hint="eastAsia"/>
                <w:color w:val="auto"/>
                <w:sz w:val="21"/>
                <w:szCs w:val="21"/>
                <w:highlight w:val="none"/>
                <w:lang w:val="en-US" w:eastAsia="zh-CN"/>
              </w:rPr>
            </w:pPr>
            <w:ins w:id="1" w:author="Administrator" w:date="2024-07-16T00:02:45Z">
              <w:r>
                <w:rPr>
                  <w:rFonts w:hint="eastAsia" w:ascii="宋体" w:hAnsi="宋体" w:eastAsia="宋体" w:cs="宋体"/>
                  <w:color w:val="auto"/>
                  <w:kern w:val="2"/>
                  <w:sz w:val="21"/>
                  <w:szCs w:val="21"/>
                  <w:highlight w:val="none"/>
                  <w:lang w:val="en-US" w:eastAsia="zh-CN" w:bidi="ar-SA"/>
                </w:rPr>
                <w:t>1.</w:t>
              </w:r>
            </w:ins>
            <w:r>
              <w:rPr>
                <w:rFonts w:hint="eastAsia" w:ascii="宋体" w:hAnsi="宋体" w:cs="宋体"/>
                <w:color w:val="auto"/>
                <w:kern w:val="0"/>
                <w:szCs w:val="21"/>
                <w:highlight w:val="none"/>
              </w:rPr>
              <w:t>整屏尺寸：宽≥2.88米、高≥1.60米。★像素间距≤1.53mm；</w:t>
            </w:r>
            <w:r>
              <w:rPr>
                <w:rStyle w:val="408"/>
                <w:rFonts w:hint="default"/>
                <w:color w:val="auto"/>
                <w:sz w:val="21"/>
                <w:szCs w:val="21"/>
                <w:highlight w:val="none"/>
              </w:rPr>
              <w:br w:type="textWrapping"/>
            </w:r>
            <w:r>
              <w:rPr>
                <w:rFonts w:hint="eastAsia" w:ascii="宋体" w:hAnsi="宋体" w:cs="宋体"/>
                <w:color w:val="auto"/>
                <w:kern w:val="0"/>
                <w:szCs w:val="21"/>
                <w:highlight w:val="none"/>
              </w:rPr>
              <w:t>2.▲LED类型：SMD 1212黑灯，1R1G1B；像素密度≥</w:t>
            </w:r>
            <w:ins w:id="2" w:author="Administrator" w:date="2024-07-15T23:40:50Z">
              <w:r>
                <w:rPr>
                  <w:rFonts w:hint="eastAsia" w:ascii="宋体" w:hAnsi="宋体" w:cs="宋体"/>
                  <w:color w:val="auto"/>
                  <w:kern w:val="0"/>
                  <w:szCs w:val="21"/>
                  <w:highlight w:val="none"/>
                  <w:lang w:val="en-US" w:eastAsia="zh-CN"/>
                </w:rPr>
                <w:t>422</w:t>
              </w:r>
            </w:ins>
            <w:ins w:id="3" w:author="Administrator" w:date="2024-07-15T23:40:51Z">
              <w:r>
                <w:rPr>
                  <w:rFonts w:hint="eastAsia" w:ascii="宋体" w:hAnsi="宋体" w:cs="宋体"/>
                  <w:color w:val="auto"/>
                  <w:kern w:val="0"/>
                  <w:szCs w:val="21"/>
                  <w:highlight w:val="none"/>
                  <w:lang w:val="en-US" w:eastAsia="zh-CN"/>
                </w:rPr>
                <w:t>5</w:t>
              </w:r>
            </w:ins>
            <w:ins w:id="4" w:author="Administrator" w:date="2024-07-15T23:40:52Z">
              <w:r>
                <w:rPr>
                  <w:rFonts w:hint="eastAsia" w:ascii="宋体" w:hAnsi="宋体" w:cs="宋体"/>
                  <w:color w:val="auto"/>
                  <w:kern w:val="0"/>
                  <w:szCs w:val="21"/>
                  <w:highlight w:val="none"/>
                  <w:lang w:val="en-US" w:eastAsia="zh-CN"/>
                </w:rPr>
                <w:t>00</w:t>
              </w:r>
            </w:ins>
            <w:r>
              <w:rPr>
                <w:rFonts w:hint="eastAsia" w:ascii="宋体" w:hAnsi="宋体" w:cs="宋体"/>
                <w:color w:val="auto"/>
                <w:kern w:val="0"/>
                <w:szCs w:val="21"/>
                <w:highlight w:val="none"/>
              </w:rPr>
              <w:t>点/m2；支持模组、电源、接收卡完全前维护/后维护；</w:t>
            </w:r>
            <w:r>
              <w:rPr>
                <w:rStyle w:val="408"/>
                <w:rFonts w:hint="default"/>
                <w:color w:val="auto"/>
                <w:sz w:val="21"/>
                <w:szCs w:val="21"/>
                <w:highlight w:val="none"/>
              </w:rPr>
              <w:br w:type="textWrapping"/>
            </w:r>
            <w:r>
              <w:rPr>
                <w:rFonts w:hint="eastAsia" w:ascii="宋体" w:hAnsi="宋体" w:cs="宋体"/>
                <w:color w:val="auto"/>
                <w:kern w:val="0"/>
                <w:szCs w:val="21"/>
                <w:highlight w:val="none"/>
              </w:rPr>
              <w:t>3.★整机采用压铸铝箱体，保证箱体拼接的平整度和密闭防火性；全金属自然散热,无风扇,无孔,防尘、防咬、防霉静音设计；</w:t>
            </w:r>
          </w:p>
          <w:p>
            <w:pPr>
              <w:widowControl/>
              <w:numPr>
                <w:ilvl w:val="0"/>
                <w:numId w:val="0"/>
              </w:numPr>
              <w:textAlignment w:val="center"/>
              <w:rPr>
                <w:ins w:id="5" w:author="Administrator" w:date="2024-07-16T00:12:05Z"/>
                <w:rFonts w:hint="eastAsia" w:ascii="宋体" w:hAnsi="宋体" w:cs="宋体"/>
                <w:color w:val="auto"/>
                <w:kern w:val="0"/>
                <w:szCs w:val="21"/>
                <w:highlight w:val="none"/>
              </w:rPr>
            </w:pPr>
            <w:ins w:id="6" w:author="Administrator" w:date="2024-07-16T00:02:51Z">
              <w:r>
                <w:rPr>
                  <w:rFonts w:hint="eastAsia" w:ascii="宋体" w:hAnsi="宋体" w:cs="宋体"/>
                  <w:color w:val="auto"/>
                  <w:kern w:val="2"/>
                  <w:sz w:val="21"/>
                  <w:szCs w:val="21"/>
                  <w:highlight w:val="none"/>
                  <w:lang w:val="en-US" w:eastAsia="zh-CN" w:bidi="ar-SA"/>
                </w:rPr>
                <w:t>4</w:t>
              </w:r>
            </w:ins>
            <w:ins w:id="7" w:author="Administrator" w:date="2024-07-16T00:02:45Z">
              <w:r>
                <w:rPr>
                  <w:rFonts w:hint="eastAsia" w:ascii="宋体" w:hAnsi="宋体" w:eastAsia="宋体" w:cs="宋体"/>
                  <w:color w:val="auto"/>
                  <w:kern w:val="2"/>
                  <w:sz w:val="21"/>
                  <w:szCs w:val="21"/>
                  <w:highlight w:val="none"/>
                  <w:lang w:val="en-US" w:eastAsia="zh-CN" w:bidi="ar-SA"/>
                </w:rPr>
                <w:t>.</w:t>
              </w:r>
            </w:ins>
            <w:r>
              <w:rPr>
                <w:rFonts w:hint="eastAsia" w:ascii="宋体" w:hAnsi="宋体" w:cs="宋体"/>
                <w:color w:val="auto"/>
                <w:kern w:val="0"/>
                <w:szCs w:val="21"/>
                <w:highlight w:val="none"/>
              </w:rPr>
              <w:t>所投LED品牌厂商须为真实制造商，不接受OEM厂家及非LED行业生产企业；采用原厂整机出厂方式供货，提供原厂整机出厂承诺函。</w:t>
            </w:r>
            <w:r>
              <w:rPr>
                <w:rStyle w:val="408"/>
                <w:rFonts w:hint="default"/>
                <w:color w:val="auto"/>
                <w:sz w:val="21"/>
                <w:szCs w:val="21"/>
                <w:highlight w:val="none"/>
              </w:rPr>
              <w:br w:type="textWrapping"/>
            </w:r>
            <w:ins w:id="8" w:author="Administrator" w:date="2024-07-16T00:02:57Z">
              <w:r>
                <w:rPr>
                  <w:rFonts w:hint="eastAsia" w:ascii="宋体" w:hAnsi="宋体" w:cs="宋体"/>
                  <w:color w:val="auto"/>
                  <w:kern w:val="0"/>
                  <w:szCs w:val="21"/>
                  <w:highlight w:val="none"/>
                  <w:lang w:val="en-US" w:eastAsia="zh-CN"/>
                </w:rPr>
                <w:t>5</w:t>
              </w:r>
            </w:ins>
            <w:r>
              <w:rPr>
                <w:rFonts w:hint="eastAsia" w:ascii="宋体" w:hAnsi="宋体" w:cs="宋体"/>
                <w:color w:val="auto"/>
                <w:kern w:val="0"/>
                <w:szCs w:val="21"/>
                <w:highlight w:val="none"/>
              </w:rPr>
              <w:t>.▲LED显示屏厂商主营业务范围必须是“LED显示屏”或“电子显示设备”的生产研发销售，且LED显示屏厂商具有生产厂房，可提供用于生产厂的工业用地证明材料；</w:t>
            </w:r>
            <w:r>
              <w:rPr>
                <w:rStyle w:val="408"/>
                <w:rFonts w:hint="default"/>
                <w:color w:val="auto"/>
                <w:sz w:val="21"/>
                <w:szCs w:val="21"/>
                <w:highlight w:val="none"/>
              </w:rPr>
              <w:br w:type="textWrapping"/>
            </w:r>
            <w:ins w:id="9" w:author="Administrator" w:date="2024-07-16T00:02:59Z">
              <w:r>
                <w:rPr>
                  <w:rFonts w:hint="eastAsia" w:ascii="宋体" w:hAnsi="宋体" w:cs="宋体"/>
                  <w:color w:val="auto"/>
                  <w:kern w:val="0"/>
                  <w:szCs w:val="21"/>
                  <w:highlight w:val="none"/>
                  <w:lang w:val="en-US" w:eastAsia="zh-CN"/>
                </w:rPr>
                <w:t>6</w:t>
              </w:r>
            </w:ins>
            <w:r>
              <w:rPr>
                <w:rFonts w:hint="eastAsia" w:ascii="宋体" w:hAnsi="宋体" w:cs="宋体"/>
                <w:color w:val="auto"/>
                <w:kern w:val="0"/>
                <w:szCs w:val="21"/>
                <w:highlight w:val="none"/>
              </w:rPr>
              <w:t>.▲显示单元间隙（mm）≤0.05；显示单元平整度（mm）≤0.05；模组平整度（mm）≤0.05；模组间隙（mm）≤0.05；</w:t>
            </w:r>
            <w:r>
              <w:rPr>
                <w:rStyle w:val="408"/>
                <w:rFonts w:hint="default"/>
                <w:color w:val="auto"/>
                <w:sz w:val="21"/>
                <w:szCs w:val="21"/>
                <w:highlight w:val="none"/>
              </w:rPr>
              <w:br w:type="textWrapping"/>
            </w:r>
            <w:ins w:id="10" w:author="Administrator" w:date="2024-07-16T00:03:01Z">
              <w:r>
                <w:rPr>
                  <w:rFonts w:hint="eastAsia" w:ascii="宋体" w:hAnsi="宋体" w:cs="宋体"/>
                  <w:color w:val="auto"/>
                  <w:kern w:val="0"/>
                  <w:szCs w:val="21"/>
                  <w:highlight w:val="none"/>
                  <w:lang w:val="en-US" w:eastAsia="zh-CN"/>
                </w:rPr>
                <w:t>7</w:t>
              </w:r>
            </w:ins>
            <w:r>
              <w:rPr>
                <w:rFonts w:hint="eastAsia" w:ascii="宋体" w:hAnsi="宋体" w:cs="宋体"/>
                <w:color w:val="auto"/>
                <w:kern w:val="0"/>
                <w:szCs w:val="21"/>
                <w:highlight w:val="none"/>
              </w:rPr>
              <w:t>.▲亮度≥500nit（0-100%无级可调）；亮度均匀性≥98%,色度均匀性：显示屏最高对比度≥10000:1；</w:t>
            </w:r>
            <w:r>
              <w:rPr>
                <w:rStyle w:val="408"/>
                <w:rFonts w:hint="default"/>
                <w:color w:val="auto"/>
                <w:sz w:val="21"/>
                <w:szCs w:val="21"/>
                <w:highlight w:val="none"/>
              </w:rPr>
              <w:br w:type="textWrapping"/>
            </w:r>
            <w:ins w:id="11" w:author="Administrator" w:date="2024-07-16T00:03:03Z">
              <w:r>
                <w:rPr>
                  <w:rFonts w:hint="eastAsia" w:ascii="宋体" w:hAnsi="宋体" w:cs="宋体"/>
                  <w:color w:val="auto"/>
                  <w:kern w:val="0"/>
                  <w:szCs w:val="21"/>
                  <w:highlight w:val="none"/>
                  <w:lang w:val="en-US" w:eastAsia="zh-CN"/>
                </w:rPr>
                <w:t>8</w:t>
              </w:r>
            </w:ins>
            <w:r>
              <w:rPr>
                <w:rFonts w:hint="eastAsia" w:ascii="宋体" w:hAnsi="宋体" w:cs="宋体"/>
                <w:color w:val="auto"/>
                <w:kern w:val="0"/>
                <w:szCs w:val="21"/>
                <w:highlight w:val="none"/>
              </w:rPr>
              <w:t>.▲模组支持双电压DC2.8V/DC3.8V或单电压DC4.2V~DC5V供电方式 ；免工具维护，同时有防呆设计，预防接错电源线短路而导致的烧毁模组行为；模块与控制模块采用硬连接设计，接收卡、HUB 板与模块之间采用并列连接，无排线设计</w:t>
            </w:r>
            <w:r>
              <w:rPr>
                <w:rFonts w:hint="eastAsia" w:ascii="宋体" w:hAnsi="宋体" w:cs="宋体"/>
                <w:color w:val="auto"/>
                <w:kern w:val="0"/>
                <w:szCs w:val="21"/>
                <w:highlight w:val="none"/>
              </w:rPr>
              <w:br w:type="textWrapping"/>
            </w:r>
            <w:ins w:id="12" w:author="Administrator" w:date="2024-07-16T00:03:10Z">
              <w:r>
                <w:rPr>
                  <w:rFonts w:hint="eastAsia" w:ascii="宋体" w:hAnsi="宋体" w:cs="宋体"/>
                  <w:color w:val="auto"/>
                  <w:kern w:val="0"/>
                  <w:szCs w:val="21"/>
                  <w:highlight w:val="none"/>
                  <w:lang w:val="en-US" w:eastAsia="zh-CN"/>
                </w:rPr>
                <w:t>9</w:t>
              </w:r>
            </w:ins>
            <w:r>
              <w:rPr>
                <w:rFonts w:hint="eastAsia" w:ascii="宋体" w:hAnsi="宋体" w:cs="宋体"/>
                <w:color w:val="auto"/>
                <w:kern w:val="0"/>
                <w:szCs w:val="21"/>
                <w:highlight w:val="none"/>
              </w:rPr>
              <w:t>.▲LED像素失控率≤1/1500000；色域/色准：≥120% NTSC/△E≤0.9 ；色度均匀性在±0.001Cx,Cy 之内；</w:t>
            </w:r>
            <w:r>
              <w:rPr>
                <w:rFonts w:hint="eastAsia" w:ascii="宋体" w:hAnsi="宋体" w:cs="宋体"/>
                <w:color w:val="auto"/>
                <w:kern w:val="0"/>
                <w:szCs w:val="21"/>
                <w:highlight w:val="none"/>
              </w:rPr>
              <w:br w:type="textWrapping"/>
            </w:r>
            <w:ins w:id="13" w:author="Administrator" w:date="2024-07-16T00:03:12Z">
              <w:r>
                <w:rPr>
                  <w:rFonts w:hint="eastAsia" w:ascii="宋体" w:hAnsi="宋体" w:cs="宋体"/>
                  <w:color w:val="auto"/>
                  <w:kern w:val="0"/>
                  <w:szCs w:val="21"/>
                  <w:highlight w:val="none"/>
                  <w:lang w:val="en-US" w:eastAsia="zh-CN"/>
                </w:rPr>
                <w:t>1</w:t>
              </w:r>
            </w:ins>
            <w:ins w:id="14" w:author="Administrator" w:date="2024-07-16T00:03:13Z">
              <w:r>
                <w:rPr>
                  <w:rFonts w:hint="eastAsia" w:ascii="宋体" w:hAnsi="宋体" w:cs="宋体"/>
                  <w:color w:val="auto"/>
                  <w:kern w:val="0"/>
                  <w:szCs w:val="21"/>
                  <w:highlight w:val="none"/>
                  <w:lang w:val="en-US" w:eastAsia="zh-CN"/>
                </w:rPr>
                <w:t>0</w:t>
              </w:r>
            </w:ins>
            <w:r>
              <w:rPr>
                <w:rFonts w:hint="eastAsia" w:ascii="宋体" w:hAnsi="宋体" w:cs="宋体"/>
                <w:color w:val="auto"/>
                <w:kern w:val="0"/>
                <w:szCs w:val="21"/>
                <w:highlight w:val="none"/>
              </w:rPr>
              <w:t>.▲采用PWM 灰阶控制技术提升低灰视觉效果，100%亮度时，16bit灰度；70%亮度，16bit灰度；50%亮度，16bit灰度；20%亮度，14bit灰度，显示画面无单列或单行像素失控现象；支持0-100%亮度时，8-16bits灰度自定义设置；</w:t>
            </w:r>
            <w:r>
              <w:rPr>
                <w:rStyle w:val="408"/>
                <w:rFonts w:hint="default"/>
                <w:color w:val="auto"/>
                <w:sz w:val="21"/>
                <w:szCs w:val="21"/>
                <w:highlight w:val="none"/>
              </w:rPr>
              <w:br w:type="textWrapping"/>
            </w:r>
            <w:r>
              <w:rPr>
                <w:rFonts w:hint="eastAsia" w:ascii="宋体" w:hAnsi="宋体" w:cs="宋体"/>
                <w:color w:val="auto"/>
                <w:kern w:val="0"/>
                <w:szCs w:val="21"/>
                <w:highlight w:val="none"/>
              </w:rPr>
              <w:t>1</w:t>
            </w:r>
            <w:ins w:id="15" w:author="Administrator" w:date="2024-07-16T00:03:16Z">
              <w:r>
                <w:rPr>
                  <w:rFonts w:hint="eastAsia" w:ascii="宋体" w:hAnsi="宋体" w:cs="宋体"/>
                  <w:color w:val="auto"/>
                  <w:kern w:val="0"/>
                  <w:szCs w:val="21"/>
                  <w:highlight w:val="none"/>
                  <w:lang w:val="en-US" w:eastAsia="zh-CN"/>
                </w:rPr>
                <w:t>1</w:t>
              </w:r>
            </w:ins>
            <w:r>
              <w:rPr>
                <w:rFonts w:hint="eastAsia" w:ascii="宋体" w:hAnsi="宋体" w:cs="宋体"/>
                <w:color w:val="auto"/>
                <w:kern w:val="0"/>
                <w:szCs w:val="21"/>
                <w:highlight w:val="none"/>
              </w:rPr>
              <w:t>.▲刷新频率≥420-4880可调节，换帧频率：50Hz&amp;60Hz；水平视角≥165°；垂直视角≥165°；相对错位偏差（水平/垂直）≤1.0%；</w:t>
            </w:r>
          </w:p>
          <w:p>
            <w:pPr>
              <w:widowControl/>
              <w:numPr>
                <w:ilvl w:val="0"/>
                <w:numId w:val="0"/>
              </w:numPr>
              <w:textAlignment w:val="center"/>
              <w:rPr>
                <w:ins w:id="16" w:author="Administrator" w:date="2024-07-15T23:56:09Z"/>
                <w:rStyle w:val="408"/>
                <w:rFonts w:hint="eastAsia"/>
                <w:color w:val="auto"/>
                <w:sz w:val="21"/>
                <w:szCs w:val="21"/>
                <w:highlight w:val="none"/>
                <w:lang w:val="en-US" w:eastAsia="zh-CN"/>
              </w:rPr>
            </w:pPr>
            <w:ins w:id="17" w:author="Administrator" w:date="2024-07-16T00:12:13Z">
              <w:r>
                <w:rPr>
                  <w:rStyle w:val="411"/>
                  <w:rFonts w:hint="default"/>
                  <w:color w:val="auto"/>
                  <w:sz w:val="20"/>
                  <w:szCs w:val="20"/>
                  <w:highlight w:val="none"/>
                </w:rPr>
                <w:t>12.</w:t>
              </w:r>
            </w:ins>
            <w:ins w:id="18" w:author="Administrator" w:date="2024-07-16T00:12:13Z">
              <w:r>
                <w:rPr>
                  <w:rFonts w:hint="eastAsia" w:ascii="宋体" w:hAnsi="宋体" w:cs="宋体"/>
                  <w:color w:val="auto"/>
                  <w:kern w:val="0"/>
                  <w:sz w:val="20"/>
                  <w:szCs w:val="20"/>
                  <w:highlight w:val="none"/>
                </w:rPr>
                <w:t>▲</w:t>
              </w:r>
            </w:ins>
            <w:ins w:id="19" w:author="Administrator" w:date="2024-07-15T23:48:33Z">
              <w:r>
                <w:rPr>
                  <w:rFonts w:hint="eastAsia" w:ascii="宋体" w:hAnsi="宋体" w:cs="宋体"/>
                  <w:color w:val="auto"/>
                  <w:kern w:val="0"/>
                  <w:szCs w:val="21"/>
                  <w:highlight w:val="none"/>
                </w:rPr>
                <w:t>人眼视觉健康舒适度VICO指数达到1级；</w:t>
              </w:r>
            </w:ins>
            <w:ins w:id="20" w:author="Administrator" w:date="2024-07-15T23:48:33Z">
              <w:r>
                <w:rPr>
                  <w:rStyle w:val="408"/>
                  <w:rFonts w:hint="default"/>
                  <w:color w:val="auto"/>
                  <w:sz w:val="21"/>
                  <w:szCs w:val="21"/>
                  <w:highlight w:val="none"/>
                </w:rPr>
                <w:br w:type="textWrapping"/>
              </w:r>
            </w:ins>
            <w:r>
              <w:rPr>
                <w:rFonts w:hint="eastAsia" w:ascii="宋体" w:hAnsi="宋体" w:cs="宋体"/>
                <w:color w:val="auto"/>
                <w:kern w:val="0"/>
                <w:szCs w:val="21"/>
                <w:highlight w:val="none"/>
              </w:rPr>
              <w:t>1</w:t>
            </w:r>
            <w:ins w:id="21" w:author="Administrator" w:date="2024-07-16T00:12:18Z">
              <w:r>
                <w:rPr>
                  <w:rFonts w:hint="eastAsia" w:ascii="宋体" w:hAnsi="宋体" w:cs="宋体"/>
                  <w:color w:val="auto"/>
                  <w:kern w:val="0"/>
                  <w:szCs w:val="21"/>
                  <w:highlight w:val="none"/>
                  <w:lang w:val="en-US" w:eastAsia="zh-CN"/>
                </w:rPr>
                <w:t>3</w:t>
              </w:r>
            </w:ins>
            <w:r>
              <w:rPr>
                <w:rFonts w:hint="eastAsia" w:ascii="宋体" w:hAnsi="宋体" w:cs="宋体"/>
                <w:color w:val="auto"/>
                <w:kern w:val="0"/>
                <w:szCs w:val="21"/>
                <w:highlight w:val="none"/>
              </w:rPr>
              <w:t>.▲峰值功耗≤385W/㎡，平均功耗≤128W/㎡；带有智能（黑屏）节电功能，开启智能节电功能比没有开启节能50%以上，能源效率值≥3cd/W，睡眠模式功率密度值≤125W/m2</w:t>
            </w:r>
            <w:r>
              <w:rPr>
                <w:rStyle w:val="408"/>
                <w:rFonts w:hint="default"/>
                <w:color w:val="auto"/>
                <w:sz w:val="21"/>
                <w:szCs w:val="21"/>
                <w:highlight w:val="none"/>
              </w:rPr>
              <w:br w:type="textWrapping"/>
            </w:r>
            <w:r>
              <w:rPr>
                <w:rStyle w:val="408"/>
                <w:rFonts w:hint="default"/>
                <w:color w:val="auto"/>
                <w:sz w:val="21"/>
                <w:szCs w:val="21"/>
                <w:highlight w:val="none"/>
              </w:rPr>
              <w:t>1</w:t>
            </w:r>
            <w:ins w:id="22" w:author="Administrator" w:date="2024-07-16T00:12:20Z">
              <w:r>
                <w:rPr>
                  <w:rStyle w:val="408"/>
                  <w:rFonts w:hint="eastAsia"/>
                  <w:color w:val="auto"/>
                  <w:sz w:val="21"/>
                  <w:szCs w:val="21"/>
                  <w:highlight w:val="none"/>
                  <w:lang w:val="en-US" w:eastAsia="zh-CN"/>
                </w:rPr>
                <w:t>4</w:t>
              </w:r>
            </w:ins>
            <w:r>
              <w:rPr>
                <w:rStyle w:val="408"/>
                <w:rFonts w:hint="default"/>
                <w:color w:val="auto"/>
                <w:sz w:val="21"/>
                <w:szCs w:val="21"/>
                <w:highlight w:val="none"/>
              </w:rPr>
              <w:t>.具有多点测温系统，分布式供电，电源过压、过流、断电保护以及温度控制系统，</w:t>
            </w:r>
            <w:ins w:id="23" w:author="Administrator" w:date="2024-07-15T23:42:41Z">
              <w:r>
                <w:rPr>
                  <w:rStyle w:val="408"/>
                  <w:rFonts w:hint="default"/>
                  <w:color w:val="auto"/>
                  <w:sz w:val="21"/>
                  <w:szCs w:val="21"/>
                  <w:highlight w:val="none"/>
                </w:rPr>
                <w:t>一键除湿功能</w:t>
              </w:r>
            </w:ins>
            <w:ins w:id="24" w:author="Administrator" w:date="2024-07-15T23:42:45Z">
              <w:r>
                <w:rPr>
                  <w:rStyle w:val="408"/>
                  <w:rFonts w:hint="eastAsia"/>
                  <w:color w:val="auto"/>
                  <w:sz w:val="21"/>
                  <w:szCs w:val="21"/>
                  <w:highlight w:val="none"/>
                  <w:lang w:val="en-US" w:eastAsia="zh-CN"/>
                </w:rPr>
                <w:t>,</w:t>
              </w:r>
            </w:ins>
            <w:ins w:id="25" w:author="Administrator" w:date="2024-07-15T23:44:35Z">
              <w:r>
                <w:rPr>
                  <w:rStyle w:val="408"/>
                  <w:rFonts w:hint="eastAsia"/>
                  <w:color w:val="auto"/>
                  <w:sz w:val="21"/>
                  <w:szCs w:val="21"/>
                  <w:highlight w:val="none"/>
                  <w:lang w:val="en-US" w:eastAsia="zh-CN"/>
                </w:rPr>
                <w:t>智能</w:t>
              </w:r>
            </w:ins>
            <w:ins w:id="26" w:author="Administrator" w:date="2024-07-15T23:45:02Z">
              <w:r>
                <w:rPr>
                  <w:rStyle w:val="408"/>
                  <w:rFonts w:hint="eastAsia"/>
                  <w:color w:val="auto"/>
                  <w:sz w:val="21"/>
                  <w:szCs w:val="21"/>
                  <w:highlight w:val="none"/>
                  <w:lang w:val="en-US" w:eastAsia="zh-CN"/>
                </w:rPr>
                <w:t>（</w:t>
              </w:r>
            </w:ins>
            <w:ins w:id="27" w:author="Administrator" w:date="2024-07-15T23:44:49Z">
              <w:r>
                <w:rPr>
                  <w:rStyle w:val="408"/>
                  <w:rFonts w:hint="eastAsia"/>
                  <w:color w:val="auto"/>
                  <w:sz w:val="21"/>
                  <w:szCs w:val="21"/>
                  <w:highlight w:val="none"/>
                  <w:lang w:val="en-US" w:eastAsia="zh-CN"/>
                </w:rPr>
                <w:t>黑屏</w:t>
              </w:r>
            </w:ins>
            <w:ins w:id="28" w:author="Administrator" w:date="2024-07-15T23:45:08Z">
              <w:r>
                <w:rPr>
                  <w:rStyle w:val="408"/>
                  <w:rFonts w:hint="eastAsia"/>
                  <w:color w:val="auto"/>
                  <w:sz w:val="21"/>
                  <w:szCs w:val="21"/>
                  <w:highlight w:val="none"/>
                  <w:lang w:val="en-US" w:eastAsia="zh-CN"/>
                </w:rPr>
                <w:t>）</w:t>
              </w:r>
            </w:ins>
            <w:ins w:id="29" w:author="Administrator" w:date="2024-07-15T23:44:55Z">
              <w:r>
                <w:rPr>
                  <w:rStyle w:val="408"/>
                  <w:rFonts w:hint="eastAsia"/>
                  <w:color w:val="auto"/>
                  <w:sz w:val="21"/>
                  <w:szCs w:val="21"/>
                  <w:highlight w:val="none"/>
                  <w:lang w:val="en-US" w:eastAsia="zh-CN"/>
                </w:rPr>
                <w:t>节电</w:t>
              </w:r>
            </w:ins>
            <w:ins w:id="30" w:author="Administrator" w:date="2024-07-15T23:44:56Z">
              <w:r>
                <w:rPr>
                  <w:rStyle w:val="408"/>
                  <w:rFonts w:hint="eastAsia"/>
                  <w:color w:val="auto"/>
                  <w:sz w:val="21"/>
                  <w:szCs w:val="21"/>
                  <w:highlight w:val="none"/>
                  <w:lang w:val="en-US" w:eastAsia="zh-CN"/>
                </w:rPr>
                <w:t>功能</w:t>
              </w:r>
            </w:ins>
            <w:ins w:id="31" w:author="Administrator" w:date="2024-07-15T23:45:20Z">
              <w:r>
                <w:rPr>
                  <w:rStyle w:val="408"/>
                  <w:rFonts w:hint="eastAsia"/>
                  <w:color w:val="auto"/>
                  <w:sz w:val="21"/>
                  <w:szCs w:val="21"/>
                  <w:highlight w:val="none"/>
                  <w:lang w:val="en-US" w:eastAsia="zh-CN"/>
                </w:rPr>
                <w:t>，</w:t>
              </w:r>
            </w:ins>
            <w:ins w:id="32" w:author="Administrator" w:date="2024-07-15T23:45:34Z">
              <w:r>
                <w:rPr>
                  <w:rStyle w:val="408"/>
                  <w:rFonts w:hint="default"/>
                  <w:color w:val="auto"/>
                  <w:sz w:val="21"/>
                  <w:szCs w:val="21"/>
                  <w:highlight w:val="none"/>
                </w:rPr>
                <w:t>屏体控制器与屏体之间有信号加密传输功能</w:t>
              </w:r>
            </w:ins>
            <w:ins w:id="33" w:author="Administrator" w:date="2024-07-15T23:45:36Z">
              <w:r>
                <w:rPr>
                  <w:rStyle w:val="408"/>
                  <w:rFonts w:hint="eastAsia"/>
                  <w:color w:val="auto"/>
                  <w:sz w:val="21"/>
                  <w:szCs w:val="21"/>
                  <w:highlight w:val="none"/>
                  <w:lang w:eastAsia="zh-CN"/>
                </w:rPr>
                <w:t>，</w:t>
              </w:r>
            </w:ins>
            <w:ins w:id="34" w:author="Administrator" w:date="2024-07-15T23:51:45Z">
              <w:r>
                <w:rPr>
                  <w:rStyle w:val="408"/>
                  <w:rFonts w:hint="eastAsia"/>
                  <w:color w:val="auto"/>
                  <w:sz w:val="21"/>
                  <w:szCs w:val="21"/>
                  <w:highlight w:val="none"/>
                  <w:lang w:eastAsia="zh-CN"/>
                </w:rPr>
                <w:t>单点</w:t>
              </w:r>
            </w:ins>
            <w:ins w:id="35" w:author="Administrator" w:date="2024-07-15T23:51:47Z">
              <w:r>
                <w:rPr>
                  <w:rStyle w:val="408"/>
                  <w:rFonts w:hint="eastAsia"/>
                  <w:color w:val="auto"/>
                  <w:sz w:val="21"/>
                  <w:szCs w:val="21"/>
                  <w:highlight w:val="none"/>
                  <w:lang w:eastAsia="zh-CN"/>
                </w:rPr>
                <w:t>、</w:t>
              </w:r>
            </w:ins>
            <w:ins w:id="36" w:author="Administrator" w:date="2024-07-15T23:51:54Z">
              <w:r>
                <w:rPr>
                  <w:rStyle w:val="408"/>
                  <w:rFonts w:hint="eastAsia"/>
                  <w:color w:val="auto"/>
                  <w:sz w:val="21"/>
                  <w:szCs w:val="21"/>
                  <w:highlight w:val="none"/>
                  <w:lang w:eastAsia="zh-CN"/>
                </w:rPr>
                <w:t>模块级</w:t>
              </w:r>
            </w:ins>
            <w:ins w:id="37" w:author="Administrator" w:date="2024-07-15T23:52:05Z">
              <w:r>
                <w:rPr>
                  <w:rStyle w:val="408"/>
                  <w:rFonts w:hint="eastAsia"/>
                  <w:color w:val="auto"/>
                  <w:sz w:val="21"/>
                  <w:szCs w:val="21"/>
                  <w:highlight w:val="none"/>
                  <w:lang w:eastAsia="zh-CN"/>
                </w:rPr>
                <w:t>亮度</w:t>
              </w:r>
            </w:ins>
            <w:ins w:id="38" w:author="Administrator" w:date="2024-07-15T23:52:07Z">
              <w:r>
                <w:rPr>
                  <w:rStyle w:val="408"/>
                  <w:rFonts w:hint="eastAsia"/>
                  <w:color w:val="auto"/>
                  <w:sz w:val="21"/>
                  <w:szCs w:val="21"/>
                  <w:highlight w:val="none"/>
                  <w:lang w:eastAsia="zh-CN"/>
                </w:rPr>
                <w:t>、</w:t>
              </w:r>
            </w:ins>
            <w:ins w:id="39" w:author="Administrator" w:date="2024-07-15T23:52:08Z">
              <w:r>
                <w:rPr>
                  <w:rStyle w:val="408"/>
                  <w:rFonts w:hint="eastAsia"/>
                  <w:color w:val="auto"/>
                  <w:sz w:val="21"/>
                  <w:szCs w:val="21"/>
                  <w:highlight w:val="none"/>
                  <w:lang w:eastAsia="zh-CN"/>
                </w:rPr>
                <w:t>色度</w:t>
              </w:r>
            </w:ins>
            <w:ins w:id="40" w:author="Administrator" w:date="2024-07-15T23:52:27Z">
              <w:r>
                <w:rPr>
                  <w:rStyle w:val="408"/>
                  <w:rFonts w:hint="eastAsia"/>
                  <w:color w:val="auto"/>
                  <w:sz w:val="21"/>
                  <w:szCs w:val="21"/>
                  <w:highlight w:val="none"/>
                  <w:lang w:eastAsia="zh-CN"/>
                </w:rPr>
                <w:t>校</w:t>
              </w:r>
            </w:ins>
            <w:ins w:id="41" w:author="Administrator" w:date="2024-07-15T23:52:30Z">
              <w:r>
                <w:rPr>
                  <w:rStyle w:val="408"/>
                  <w:rFonts w:hint="eastAsia"/>
                  <w:color w:val="auto"/>
                  <w:sz w:val="21"/>
                  <w:szCs w:val="21"/>
                  <w:highlight w:val="none"/>
                  <w:lang w:eastAsia="zh-CN"/>
                </w:rPr>
                <w:t>正</w:t>
              </w:r>
            </w:ins>
            <w:ins w:id="42" w:author="Administrator" w:date="2024-07-15T23:52:32Z">
              <w:r>
                <w:rPr>
                  <w:rStyle w:val="408"/>
                  <w:rFonts w:hint="eastAsia"/>
                  <w:color w:val="auto"/>
                  <w:sz w:val="21"/>
                  <w:szCs w:val="21"/>
                  <w:highlight w:val="none"/>
                  <w:lang w:eastAsia="zh-CN"/>
                </w:rPr>
                <w:t>功能</w:t>
              </w:r>
            </w:ins>
            <w:ins w:id="43" w:author="Administrator" w:date="2024-07-15T23:52:35Z">
              <w:r>
                <w:rPr>
                  <w:rStyle w:val="408"/>
                  <w:rFonts w:hint="eastAsia"/>
                  <w:color w:val="auto"/>
                  <w:sz w:val="21"/>
                  <w:szCs w:val="21"/>
                  <w:highlight w:val="none"/>
                  <w:lang w:eastAsia="zh-CN"/>
                </w:rPr>
                <w:t>，</w:t>
              </w:r>
            </w:ins>
            <w:ins w:id="44" w:author="Administrator" w:date="2024-07-15T23:53:12Z">
              <w:r>
                <w:rPr>
                  <w:rStyle w:val="408"/>
                  <w:rFonts w:hint="eastAsia"/>
                  <w:color w:val="auto"/>
                  <w:sz w:val="21"/>
                  <w:szCs w:val="21"/>
                  <w:highlight w:val="none"/>
                  <w:lang w:eastAsia="zh-CN"/>
                </w:rPr>
                <w:t>非</w:t>
              </w:r>
            </w:ins>
            <w:ins w:id="45" w:author="Administrator" w:date="2024-07-15T23:53:13Z">
              <w:r>
                <w:rPr>
                  <w:rStyle w:val="408"/>
                  <w:rFonts w:hint="eastAsia"/>
                  <w:color w:val="auto"/>
                  <w:sz w:val="21"/>
                  <w:szCs w:val="21"/>
                  <w:highlight w:val="none"/>
                  <w:lang w:eastAsia="zh-CN"/>
                </w:rPr>
                <w:t>标准</w:t>
              </w:r>
            </w:ins>
            <w:ins w:id="46" w:author="Administrator" w:date="2024-07-15T23:53:24Z">
              <w:r>
                <w:rPr>
                  <w:rStyle w:val="408"/>
                  <w:rFonts w:hint="eastAsia"/>
                  <w:color w:val="auto"/>
                  <w:sz w:val="21"/>
                  <w:szCs w:val="21"/>
                  <w:highlight w:val="none"/>
                  <w:lang w:eastAsia="zh-CN"/>
                </w:rPr>
                <w:t>分辨率</w:t>
              </w:r>
            </w:ins>
            <w:ins w:id="47" w:author="Administrator" w:date="2024-07-15T23:53:31Z">
              <w:r>
                <w:rPr>
                  <w:rStyle w:val="408"/>
                  <w:rFonts w:hint="eastAsia"/>
                  <w:color w:val="auto"/>
                  <w:sz w:val="21"/>
                  <w:szCs w:val="21"/>
                  <w:highlight w:val="none"/>
                  <w:lang w:eastAsia="zh-CN"/>
                </w:rPr>
                <w:t>自动</w:t>
              </w:r>
            </w:ins>
            <w:ins w:id="48" w:author="Administrator" w:date="2024-07-15T23:53:33Z">
              <w:r>
                <w:rPr>
                  <w:rStyle w:val="408"/>
                  <w:rFonts w:hint="eastAsia"/>
                  <w:color w:val="auto"/>
                  <w:sz w:val="21"/>
                  <w:szCs w:val="21"/>
                  <w:highlight w:val="none"/>
                  <w:lang w:eastAsia="zh-CN"/>
                </w:rPr>
                <w:t>匹配</w:t>
              </w:r>
            </w:ins>
            <w:ins w:id="49" w:author="Administrator" w:date="2024-07-15T23:53:34Z">
              <w:r>
                <w:rPr>
                  <w:rStyle w:val="408"/>
                  <w:rFonts w:hint="eastAsia"/>
                  <w:color w:val="auto"/>
                  <w:sz w:val="21"/>
                  <w:szCs w:val="21"/>
                  <w:highlight w:val="none"/>
                  <w:lang w:eastAsia="zh-CN"/>
                </w:rPr>
                <w:t>功能</w:t>
              </w:r>
            </w:ins>
            <w:ins w:id="50" w:author="Administrator" w:date="2024-07-15T23:53:35Z">
              <w:r>
                <w:rPr>
                  <w:rStyle w:val="408"/>
                  <w:rFonts w:hint="eastAsia"/>
                  <w:color w:val="auto"/>
                  <w:sz w:val="21"/>
                  <w:szCs w:val="21"/>
                  <w:highlight w:val="none"/>
                  <w:lang w:eastAsia="zh-CN"/>
                </w:rPr>
                <w:t>，</w:t>
              </w:r>
            </w:ins>
            <w:ins w:id="51" w:author="Administrator" w:date="2024-07-15T23:53:57Z">
              <w:r>
                <w:rPr>
                  <w:rStyle w:val="408"/>
                  <w:rFonts w:hint="eastAsia"/>
                  <w:color w:val="auto"/>
                  <w:sz w:val="21"/>
                  <w:szCs w:val="21"/>
                  <w:highlight w:val="none"/>
                  <w:lang w:eastAsia="zh-CN"/>
                </w:rPr>
                <w:t>多</w:t>
              </w:r>
            </w:ins>
            <w:ins w:id="52" w:author="Administrator" w:date="2024-07-15T23:54:10Z">
              <w:r>
                <w:rPr>
                  <w:rStyle w:val="408"/>
                  <w:rFonts w:hint="eastAsia"/>
                  <w:color w:val="auto"/>
                  <w:sz w:val="21"/>
                  <w:szCs w:val="21"/>
                  <w:highlight w:val="none"/>
                  <w:lang w:val="en-US" w:eastAsia="zh-CN"/>
                </w:rPr>
                <w:t>b</w:t>
              </w:r>
            </w:ins>
            <w:ins w:id="53" w:author="Administrator" w:date="2024-07-15T23:54:11Z">
              <w:r>
                <w:rPr>
                  <w:rStyle w:val="408"/>
                  <w:rFonts w:hint="eastAsia"/>
                  <w:color w:val="auto"/>
                  <w:sz w:val="21"/>
                  <w:szCs w:val="21"/>
                  <w:highlight w:val="none"/>
                  <w:lang w:val="en-US" w:eastAsia="zh-CN"/>
                </w:rPr>
                <w:t>in</w:t>
              </w:r>
            </w:ins>
            <w:ins w:id="54" w:author="Administrator" w:date="2024-07-15T23:54:29Z">
              <w:r>
                <w:rPr>
                  <w:rStyle w:val="408"/>
                  <w:rFonts w:hint="eastAsia"/>
                  <w:color w:val="auto"/>
                  <w:sz w:val="21"/>
                  <w:szCs w:val="21"/>
                  <w:highlight w:val="none"/>
                  <w:lang w:val="en-US" w:eastAsia="zh-CN"/>
                </w:rPr>
                <w:t>色度</w:t>
              </w:r>
            </w:ins>
            <w:ins w:id="55" w:author="Administrator" w:date="2024-07-15T23:54:30Z">
              <w:r>
                <w:rPr>
                  <w:rStyle w:val="408"/>
                  <w:rFonts w:hint="eastAsia"/>
                  <w:color w:val="auto"/>
                  <w:sz w:val="21"/>
                  <w:szCs w:val="21"/>
                  <w:highlight w:val="none"/>
                  <w:lang w:val="en-US" w:eastAsia="zh-CN"/>
                </w:rPr>
                <w:t>校</w:t>
              </w:r>
            </w:ins>
            <w:ins w:id="56" w:author="Administrator" w:date="2024-07-15T23:54:31Z">
              <w:r>
                <w:rPr>
                  <w:rStyle w:val="408"/>
                  <w:rFonts w:hint="eastAsia"/>
                  <w:color w:val="auto"/>
                  <w:sz w:val="21"/>
                  <w:szCs w:val="21"/>
                  <w:highlight w:val="none"/>
                  <w:lang w:val="en-US" w:eastAsia="zh-CN"/>
                </w:rPr>
                <w:t>正</w:t>
              </w:r>
            </w:ins>
            <w:ins w:id="57" w:author="Administrator" w:date="2024-07-15T23:54:43Z">
              <w:r>
                <w:rPr>
                  <w:rStyle w:val="408"/>
                  <w:rFonts w:hint="eastAsia"/>
                  <w:color w:val="auto"/>
                  <w:sz w:val="21"/>
                  <w:szCs w:val="21"/>
                  <w:highlight w:val="none"/>
                  <w:lang w:val="en-US" w:eastAsia="zh-CN"/>
                </w:rPr>
                <w:t>功能</w:t>
              </w:r>
            </w:ins>
            <w:ins w:id="58" w:author="Administrator" w:date="2024-07-15T23:54:44Z">
              <w:r>
                <w:rPr>
                  <w:rStyle w:val="408"/>
                  <w:rFonts w:hint="eastAsia"/>
                  <w:color w:val="auto"/>
                  <w:sz w:val="21"/>
                  <w:szCs w:val="21"/>
                  <w:highlight w:val="none"/>
                  <w:lang w:val="en-US" w:eastAsia="zh-CN"/>
                </w:rPr>
                <w:t>，</w:t>
              </w:r>
            </w:ins>
          </w:p>
          <w:p>
            <w:pPr>
              <w:widowControl/>
              <w:numPr>
                <w:ilvl w:val="-1"/>
                <w:numId w:val="0"/>
              </w:numPr>
              <w:textAlignment w:val="center"/>
              <w:rPr>
                <w:rFonts w:ascii="宋体" w:hAnsi="宋体" w:cs="宋体"/>
                <w:color w:val="auto"/>
                <w:szCs w:val="21"/>
                <w:highlight w:val="none"/>
              </w:rPr>
              <w:pPrChange w:id="59" w:author="Administrator" w:date="2024-07-15T23:56:11Z">
                <w:pPr>
                  <w:widowControl/>
                  <w:textAlignment w:val="center"/>
                </w:pPr>
              </w:pPrChange>
            </w:pPr>
            <w:ins w:id="60" w:author="Administrator" w:date="2024-07-15T23:49:15Z">
              <w:r>
                <w:rPr>
                  <w:rStyle w:val="408"/>
                  <w:rFonts w:hint="eastAsia"/>
                  <w:color w:val="auto"/>
                  <w:sz w:val="21"/>
                  <w:szCs w:val="21"/>
                  <w:highlight w:val="none"/>
                  <w:lang w:val="en-US" w:eastAsia="zh-CN"/>
                </w:rPr>
                <w:t>1</w:t>
              </w:r>
            </w:ins>
            <w:ins w:id="61" w:author="Administrator" w:date="2024-07-16T00:12:22Z">
              <w:r>
                <w:rPr>
                  <w:rStyle w:val="408"/>
                  <w:rFonts w:hint="eastAsia"/>
                  <w:color w:val="auto"/>
                  <w:sz w:val="21"/>
                  <w:szCs w:val="21"/>
                  <w:highlight w:val="none"/>
                  <w:lang w:val="en-US" w:eastAsia="zh-CN"/>
                </w:rPr>
                <w:t>5</w:t>
              </w:r>
            </w:ins>
            <w:r>
              <w:rPr>
                <w:rFonts w:hint="eastAsia" w:ascii="宋体" w:hAnsi="宋体" w:cs="宋体"/>
                <w:color w:val="auto"/>
                <w:kern w:val="0"/>
                <w:szCs w:val="21"/>
                <w:highlight w:val="none"/>
              </w:rPr>
              <w:t>.▲燃烧烟气毒性指数满足BS6853测试R值≤1；抗震等级满足8级要求；蓝光危害辐亮度≤5.7W/m2/sr；样品在10Lux/5600K照度下,对屏幕表面进行光反射率试验,屏幕表面光反射率＜3cd/m²</w:t>
            </w:r>
            <w:r>
              <w:rPr>
                <w:rFonts w:hint="eastAsia" w:ascii="宋体" w:hAnsi="宋体" w:cs="宋体"/>
                <w:color w:val="auto"/>
                <w:kern w:val="0"/>
                <w:szCs w:val="21"/>
                <w:highlight w:val="none"/>
              </w:rPr>
              <w:br w:type="textWrapping"/>
            </w:r>
            <w:ins w:id="62" w:author="Administrator" w:date="2024-07-16T00:00:19Z">
              <w:r>
                <w:rPr>
                  <w:rStyle w:val="408"/>
                  <w:rFonts w:hint="eastAsia"/>
                  <w:color w:val="auto"/>
                  <w:sz w:val="21"/>
                  <w:szCs w:val="21"/>
                  <w:highlight w:val="none"/>
                  <w:lang w:val="en-US" w:eastAsia="zh-CN"/>
                </w:rPr>
                <w:t>1</w:t>
              </w:r>
            </w:ins>
            <w:ins w:id="63" w:author="Administrator" w:date="2024-07-16T00:12:25Z">
              <w:r>
                <w:rPr>
                  <w:rStyle w:val="408"/>
                  <w:rFonts w:hint="eastAsia"/>
                  <w:color w:val="auto"/>
                  <w:sz w:val="21"/>
                  <w:szCs w:val="21"/>
                  <w:highlight w:val="none"/>
                  <w:lang w:val="en-US" w:eastAsia="zh-CN"/>
                </w:rPr>
                <w:t>6</w:t>
              </w:r>
            </w:ins>
            <w:ins w:id="64" w:author="Administrator" w:date="2024-07-16T00:00:19Z">
              <w:r>
                <w:rPr>
                  <w:rFonts w:hint="eastAsia" w:ascii="宋体" w:hAnsi="宋体" w:cs="宋体"/>
                  <w:color w:val="auto"/>
                  <w:kern w:val="0"/>
                  <w:szCs w:val="21"/>
                  <w:highlight w:val="none"/>
                </w:rPr>
                <w:t>.▲</w:t>
              </w:r>
            </w:ins>
            <w:r>
              <w:rPr>
                <w:rFonts w:hint="eastAsia" w:ascii="宋体" w:hAnsi="宋体" w:cs="宋体"/>
                <w:color w:val="auto"/>
                <w:kern w:val="0"/>
                <w:szCs w:val="21"/>
                <w:highlight w:val="none"/>
              </w:rPr>
              <w:t>提供具有ilac-MRA、CNAS、CMA认证标识的检验报告、产品3C证书等证明材料，并加盖显示屏制造商公章。</w:t>
            </w:r>
          </w:p>
        </w:tc>
        <w:tc>
          <w:tcPr>
            <w:tcW w:w="698" w:type="dxa"/>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 xml:space="preserve">4.61 </w:t>
            </w:r>
          </w:p>
        </w:tc>
        <w:tc>
          <w:tcPr>
            <w:tcW w:w="693" w:type="dxa"/>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0"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2</w:t>
            </w:r>
          </w:p>
        </w:tc>
        <w:tc>
          <w:tcPr>
            <w:tcW w:w="1569" w:type="dxa"/>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视频处理器</w:t>
            </w:r>
          </w:p>
        </w:tc>
        <w:tc>
          <w:tcPr>
            <w:tcW w:w="6241" w:type="dxa"/>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同步控制</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1.支持常见的视频接口，包括2路 HDMI1.3，1路 DVI，</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 xml:space="preserve">2.支持3.5mm音频输入和3.5mm音频输出。 </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 xml:space="preserve">3.支持 3 个窗口和 1 路 OSD。 </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 xml:space="preserve">4.支持快捷配屏和高级配屏功能。 </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 xml:space="preserve">5.支持 HDMI、DVI 输入分辨率自定义调节。 </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 xml:space="preserve">6.支持设备间备份设置。 </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 xml:space="preserve">7.视频输出最大带载高达 390 万像素。 </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 xml:space="preserve">8.支持一键将优先级最低的窗口全屏自动缩放，增强产品实用性能。 </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 xml:space="preserve">9.支持创建 10 个用户场景作为模板保存，方便使用。 </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10.设备的接地和连接保护措施，可触及导体部件已经可靠接入保护接地，设备内的保护接地导体和保护连接导体中的元器件未串接开关或过流保护装置，并且所有的接地装置通过耐腐蚀性测试</w:t>
            </w:r>
          </w:p>
        </w:tc>
        <w:tc>
          <w:tcPr>
            <w:tcW w:w="698" w:type="dxa"/>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1</w:t>
            </w:r>
          </w:p>
        </w:tc>
        <w:tc>
          <w:tcPr>
            <w:tcW w:w="693" w:type="dxa"/>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50"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3</w:t>
            </w:r>
          </w:p>
        </w:tc>
        <w:tc>
          <w:tcPr>
            <w:tcW w:w="1569" w:type="dxa"/>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机柜</w:t>
            </w:r>
          </w:p>
        </w:tc>
        <w:tc>
          <w:tcPr>
            <w:tcW w:w="6241" w:type="dxa"/>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尺寸:600*600*1600</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配件:大锁/层板1块螺丝1包/风扇1个/排插1个等</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容量:32U</w:t>
            </w:r>
          </w:p>
        </w:tc>
        <w:tc>
          <w:tcPr>
            <w:tcW w:w="698" w:type="dxa"/>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1</w:t>
            </w:r>
          </w:p>
        </w:tc>
        <w:tc>
          <w:tcPr>
            <w:tcW w:w="693" w:type="dxa"/>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jc w:val="center"/>
        </w:trPr>
        <w:tc>
          <w:tcPr>
            <w:tcW w:w="650"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4</w:t>
            </w:r>
          </w:p>
        </w:tc>
        <w:tc>
          <w:tcPr>
            <w:tcW w:w="1569" w:type="dxa"/>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视频矩阵</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（8进8出）</w:t>
            </w:r>
          </w:p>
        </w:tc>
        <w:tc>
          <w:tcPr>
            <w:tcW w:w="6241" w:type="dxa"/>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1、支持不少于8个HDMI输入，8个HDMI输出；</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2、采用全硬件架构，3.4GHz高带宽芯片，无CPU和操作系统；</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3、支持HDMI 1.3a协议版本，支持1080P@60Hz、1080P 3D@60Hz及以下分辨率，支持隔行信号；</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4、支持RGB4:4:4、YUV4:4:4、YUV4:2:2色彩空间，支持x.v.Color扩展色域标准；</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5、支持HDCP解密、蓝光、3D，可确保所有视频信号实时显示，不抽帧，不丢灰，画面清晰流畅；</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6、支持按键、红外遥控、RS232串口指令、上位机软件等控制方式；</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7、支持EDID自适应功能、学习功能，可适应现场多样化的显示设备，兼容性强；</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8、具备长线驱动能力，输入带有自动均衡，可有效减少因为线路传输而导致的确定性抖动；</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9、支持掉电保护功能、一键切换功能、音视频同步切换、串口指令通道切换部分支持代码拆分功能；</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10、上位机软件支持情景模式设置、保存、调取等功能。</w:t>
            </w:r>
          </w:p>
        </w:tc>
        <w:tc>
          <w:tcPr>
            <w:tcW w:w="698" w:type="dxa"/>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1</w:t>
            </w:r>
          </w:p>
        </w:tc>
        <w:tc>
          <w:tcPr>
            <w:tcW w:w="693" w:type="dxa"/>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8460" w:type="dxa"/>
            <w:gridSpan w:val="3"/>
            <w:shd w:val="clear" w:color="auto" w:fill="E2EFDA"/>
            <w:noWrap/>
            <w:vAlign w:val="center"/>
          </w:tcPr>
          <w:p>
            <w:pPr>
              <w:widowControl/>
              <w:jc w:val="left"/>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二、扩声系统</w:t>
            </w:r>
          </w:p>
        </w:tc>
        <w:tc>
          <w:tcPr>
            <w:tcW w:w="1391" w:type="dxa"/>
            <w:gridSpan w:val="2"/>
            <w:shd w:val="clear" w:color="auto" w:fill="E2EFDA"/>
            <w:noWrap/>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650"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1</w:t>
            </w:r>
          </w:p>
        </w:tc>
        <w:tc>
          <w:tcPr>
            <w:tcW w:w="1569"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4单元柱式音箱</w:t>
            </w:r>
          </w:p>
        </w:tc>
        <w:tc>
          <w:tcPr>
            <w:tcW w:w="6241" w:type="dxa"/>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1.频率范围不低于100Hz-18KHz</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2.驱动单元：4X4寸低音单元，1x1寸高音单元</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3.最大声压级不小于117dB</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4.额定功率不小于250W最大功率不低于500W</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5.灵敏度不小于95dB</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6.标称阻抗：8Ω</w:t>
            </w:r>
          </w:p>
        </w:tc>
        <w:tc>
          <w:tcPr>
            <w:tcW w:w="698"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2</w:t>
            </w:r>
          </w:p>
        </w:tc>
        <w:tc>
          <w:tcPr>
            <w:tcW w:w="693"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5" w:hRule="atLeast"/>
          <w:jc w:val="center"/>
        </w:trPr>
        <w:tc>
          <w:tcPr>
            <w:tcW w:w="650"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2</w:t>
            </w:r>
          </w:p>
        </w:tc>
        <w:tc>
          <w:tcPr>
            <w:tcW w:w="1569"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专业功率放大器</w:t>
            </w:r>
          </w:p>
        </w:tc>
        <w:tc>
          <w:tcPr>
            <w:tcW w:w="6241" w:type="dxa"/>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1.立体声模式额定功率：≥8Ω350W*2，≥4Ω500W*2，≥桥接8Ω700W</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2.信噪比不低于98DB</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3.失真度THD&lt;0.5%</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4.输入阻抗不低于20KΩ</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5.频率响应：20HZ-20KHZ@1w</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6.阻尼系数：&gt;200</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7.具有输出短路，过热，自动限幅，长期输出功率，直流/交流保护装置</w:t>
            </w:r>
          </w:p>
        </w:tc>
        <w:tc>
          <w:tcPr>
            <w:tcW w:w="698"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1</w:t>
            </w:r>
          </w:p>
        </w:tc>
        <w:tc>
          <w:tcPr>
            <w:tcW w:w="693"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jc w:val="center"/>
        </w:trPr>
        <w:tc>
          <w:tcPr>
            <w:tcW w:w="650"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3</w:t>
            </w:r>
          </w:p>
        </w:tc>
        <w:tc>
          <w:tcPr>
            <w:tcW w:w="1569"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专业音频处理器</w:t>
            </w:r>
          </w:p>
        </w:tc>
        <w:tc>
          <w:tcPr>
            <w:tcW w:w="6241" w:type="dxa"/>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1.模拟输入通道数量：≥8路，模拟输出通道数量：≥8路；</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2.需支持自动混音，支持自动增益，每个通道支持自适应反馈抑制，支持噪声抑制；</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3.需支持回声消除；</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4.输入通道≥8段PEQ ，且提供不低于五种滤波器类型选择，输出通道具备≥8段PEQ,分频器、延时器、限幅器；</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 xml:space="preserve">5.动态范围：≥110dB； </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6.频率响应范围：不低于20～20kHz；</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7.总谐波失真(THD+N)：≤-100dB；</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8.≥4个GPIO接口可独立配置输入输出；</w:t>
            </w:r>
          </w:p>
        </w:tc>
        <w:tc>
          <w:tcPr>
            <w:tcW w:w="698"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1</w:t>
            </w:r>
          </w:p>
        </w:tc>
        <w:tc>
          <w:tcPr>
            <w:tcW w:w="693"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0" w:hRule="atLeast"/>
          <w:jc w:val="center"/>
        </w:trPr>
        <w:tc>
          <w:tcPr>
            <w:tcW w:w="650"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4</w:t>
            </w:r>
          </w:p>
        </w:tc>
        <w:tc>
          <w:tcPr>
            <w:tcW w:w="1569"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专业数字反馈抑制器</w:t>
            </w:r>
          </w:p>
        </w:tc>
        <w:tc>
          <w:tcPr>
            <w:tcW w:w="6241" w:type="dxa"/>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1.≥2路卡侬和大二芯复合插头信号输入</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2.具有自适应反馈算法、陷波器算法、低音补偿算法、自动混音算法功能</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3.每路信号独立的音量调节，独立的48V供电;</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4.具备全自动检测啸叫点功能，实现全自动反馈消除</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5.具备声场校正，一键粉红噪声测试功能</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6.具有显示屏，显示输入信号电平</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7.支持不低于2路XLR卡侬输出接口</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8.支持不低于2路RCA输入，不低于2路RCA输出</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9.在声学反馈发生之前，可以获得≥12dB的增益；</w:t>
            </w:r>
            <w:del w:id="65" w:author="Apple" w:date="2024-07-15T19:28:00Z">
              <w:r>
                <w:rPr>
                  <w:rFonts w:hint="eastAsia" w:ascii="宋体" w:hAnsi="宋体" w:cs="宋体"/>
                  <w:color w:val="auto"/>
                  <w:kern w:val="0"/>
                  <w:szCs w:val="21"/>
                  <w:highlight w:val="none"/>
                </w:rPr>
                <w:br w:type="textWrapping"/>
              </w:r>
            </w:del>
            <w:del w:id="66" w:author="Apple" w:date="2024-07-15T19:28:00Z">
              <w:r>
                <w:rPr>
                  <w:rFonts w:hint="eastAsia" w:ascii="宋体" w:hAnsi="宋体" w:cs="宋体"/>
                  <w:color w:val="auto"/>
                  <w:kern w:val="0"/>
                  <w:szCs w:val="21"/>
                  <w:highlight w:val="none"/>
                </w:rPr>
                <w:delText>10.频率响应：不低于20Hz~20KHz ;</w:delText>
              </w:r>
            </w:del>
            <w:del w:id="67" w:author="Apple" w:date="2024-07-15T19:28:00Z">
              <w:r>
                <w:rPr>
                  <w:rFonts w:hint="eastAsia" w:ascii="宋体" w:hAnsi="宋体" w:cs="宋体"/>
                  <w:color w:val="auto"/>
                  <w:kern w:val="0"/>
                  <w:szCs w:val="21"/>
                  <w:highlight w:val="none"/>
                </w:rPr>
                <w:br w:type="textWrapping"/>
              </w:r>
            </w:del>
            <w:del w:id="68" w:author="Apple" w:date="2024-07-15T19:28:00Z">
              <w:r>
                <w:rPr>
                  <w:rFonts w:hint="eastAsia" w:ascii="宋体" w:hAnsi="宋体" w:cs="宋体"/>
                  <w:color w:val="auto"/>
                  <w:kern w:val="0"/>
                  <w:szCs w:val="21"/>
                  <w:highlight w:val="none"/>
                </w:rPr>
                <w:delText>11.THD:≤0.1%@1KHz ;</w:delText>
              </w:r>
            </w:del>
            <w:del w:id="69" w:author="Apple" w:date="2024-07-15T19:28:00Z">
              <w:r>
                <w:rPr>
                  <w:rFonts w:hint="eastAsia" w:ascii="宋体" w:hAnsi="宋体" w:cs="宋体"/>
                  <w:color w:val="auto"/>
                  <w:kern w:val="0"/>
                  <w:szCs w:val="21"/>
                  <w:highlight w:val="none"/>
                </w:rPr>
                <w:br w:type="textWrapping"/>
              </w:r>
            </w:del>
            <w:del w:id="70" w:author="Apple" w:date="2024-07-15T19:28:00Z">
              <w:r>
                <w:rPr>
                  <w:rFonts w:hint="eastAsia" w:ascii="宋体" w:hAnsi="宋体" w:cs="宋体"/>
                  <w:color w:val="auto"/>
                  <w:kern w:val="0"/>
                  <w:szCs w:val="21"/>
                  <w:highlight w:val="none"/>
                </w:rPr>
                <w:delText>12.信噪比：≥90dB；</w:delText>
              </w:r>
            </w:del>
            <w:del w:id="71" w:author="Apple" w:date="2024-07-15T19:28:00Z">
              <w:r>
                <w:rPr>
                  <w:rFonts w:hint="eastAsia" w:ascii="宋体" w:hAnsi="宋体" w:cs="宋体"/>
                  <w:color w:val="auto"/>
                  <w:kern w:val="0"/>
                  <w:szCs w:val="21"/>
                  <w:highlight w:val="none"/>
                </w:rPr>
                <w:br w:type="textWrapping"/>
              </w:r>
            </w:del>
            <w:del w:id="72" w:author="Apple" w:date="2024-07-15T19:28:00Z">
              <w:r>
                <w:rPr>
                  <w:rFonts w:hint="eastAsia" w:ascii="宋体" w:hAnsi="宋体" w:cs="宋体"/>
                  <w:color w:val="auto"/>
                  <w:kern w:val="0"/>
                  <w:szCs w:val="21"/>
                  <w:highlight w:val="none"/>
                </w:rPr>
                <w:delText>13.采样率:≥32KHz</w:delText>
              </w:r>
            </w:del>
          </w:p>
        </w:tc>
        <w:tc>
          <w:tcPr>
            <w:tcW w:w="698"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1</w:t>
            </w:r>
          </w:p>
        </w:tc>
        <w:tc>
          <w:tcPr>
            <w:tcW w:w="693"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650"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5</w:t>
            </w:r>
          </w:p>
        </w:tc>
        <w:tc>
          <w:tcPr>
            <w:tcW w:w="1569"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调音台</w:t>
            </w:r>
          </w:p>
        </w:tc>
        <w:tc>
          <w:tcPr>
            <w:tcW w:w="6241" w:type="dxa"/>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话筒输入：提供4个话筒输入，满足基本的录音和混音需求。</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频响范围：±0.5dB在20Hz至20kHz之间，保证了音频信号的准确传输和处理。</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总谐波失真：在+14dBu时，20Hz至20kHz范围内的总谐波失真为0.02%，提供了较低的失真率，确保音质清晰。</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输入通道：包括10个通道，其中单声道4个，立体声3个，提供了丰富的音频处理选项。</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输出通道：包括2个立体声输出和1个耳机输出，满足不同的输出需求。</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母线：提供1个立体声母线，便于音频信号的混合和管理。</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电平表：配备2x7段LED电平表，显示范围包括PEAK、+6、+3、0、-3、-10、-20dB，提供了直观的音量显示。</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幻象电源电压：支持+48V幻象电源，适用于需要额外电源供电的话筒。</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电源适配器：配备PA-10电源适配器，输入为AC38 VCT，0.62A，电缆长度为3.6米。</w:t>
            </w:r>
          </w:p>
        </w:tc>
        <w:tc>
          <w:tcPr>
            <w:tcW w:w="698"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1</w:t>
            </w:r>
          </w:p>
        </w:tc>
        <w:tc>
          <w:tcPr>
            <w:tcW w:w="693"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219" w:type="dxa"/>
            <w:gridSpan w:val="2"/>
            <w:shd w:val="clear" w:color="auto" w:fill="E2EFDA"/>
            <w:noWrap/>
            <w:vAlign w:val="center"/>
          </w:tcPr>
          <w:p>
            <w:pPr>
              <w:widowControl/>
              <w:jc w:val="left"/>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三、无线会议系统</w:t>
            </w:r>
          </w:p>
        </w:tc>
        <w:tc>
          <w:tcPr>
            <w:tcW w:w="6241" w:type="dxa"/>
            <w:shd w:val="clear" w:color="auto" w:fill="E2EFDA"/>
            <w:noWrap/>
            <w:vAlign w:val="center"/>
          </w:tcPr>
          <w:p>
            <w:pPr>
              <w:jc w:val="center"/>
              <w:rPr>
                <w:rFonts w:ascii="宋体" w:hAnsi="宋体" w:cs="宋体"/>
                <w:color w:val="auto"/>
                <w:szCs w:val="21"/>
                <w:highlight w:val="none"/>
              </w:rPr>
            </w:pPr>
          </w:p>
        </w:tc>
        <w:tc>
          <w:tcPr>
            <w:tcW w:w="1391" w:type="dxa"/>
            <w:gridSpan w:val="2"/>
            <w:shd w:val="clear" w:color="auto" w:fill="E2EFDA"/>
            <w:noWrap/>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jc w:val="center"/>
        </w:trPr>
        <w:tc>
          <w:tcPr>
            <w:tcW w:w="650"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1</w:t>
            </w:r>
          </w:p>
        </w:tc>
        <w:tc>
          <w:tcPr>
            <w:tcW w:w="1569"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4K摄像机</w:t>
            </w:r>
          </w:p>
        </w:tc>
        <w:tc>
          <w:tcPr>
            <w:tcW w:w="6241" w:type="dxa"/>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1.≥12倍光学变倍镜头，支持≥16倍数字变焦；采用1/2.5英寸、≥851万有效像素的高品质CMOS传感器。</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2.支持多达255个预置位，预置位精度：0.1°</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3.水平转动范围：±170°</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4.具备≥1路HDMI 1.4输出接口、≥1路3G-SDI、≥1路Line音频输入输出接口</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5.视频编码标准：支持H.265/H.264/MJPEG视频压缩；</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6.可实现4K (3840x2160) 超高分辨率的优质图像</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7.通讯接口：≥1路 RS232 In/Out；≥1路RS485,最大距离：1200米</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8.支持ONVIF、GB/T28181.RTSP、RTMP协议、RTP组播。</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9.支持VISCA、PELCO-D、PELCO-P协议，支持自动识别协议</w:t>
            </w:r>
            <w:ins w:id="73" w:author="Apple" w:date="2024-07-15T19:29:00Z">
              <w:r>
                <w:rPr>
                  <w:rFonts w:hint="eastAsia" w:ascii="宋体" w:hAnsi="宋体" w:cs="宋体"/>
                  <w:color w:val="auto"/>
                  <w:kern w:val="0"/>
                  <w:szCs w:val="21"/>
                  <w:highlight w:val="none"/>
                </w:rPr>
                <w:t>，</w:t>
              </w:r>
            </w:ins>
            <w:del w:id="74" w:author="Apple" w:date="2024-07-15T19:29:00Z">
              <w:r>
                <w:rPr>
                  <w:rFonts w:hint="eastAsia" w:ascii="宋体" w:hAnsi="宋体" w:cs="宋体"/>
                  <w:color w:val="auto"/>
                  <w:kern w:val="0"/>
                  <w:szCs w:val="21"/>
                  <w:highlight w:val="none"/>
                </w:rPr>
                <w:delText>。</w:delText>
              </w:r>
            </w:del>
            <w:del w:id="75" w:author="Apple" w:date="2024-07-15T19:29:00Z">
              <w:r>
                <w:rPr>
                  <w:rFonts w:hint="eastAsia" w:ascii="宋体" w:hAnsi="宋体" w:cs="宋体"/>
                  <w:color w:val="auto"/>
                  <w:kern w:val="0"/>
                  <w:szCs w:val="21"/>
                  <w:highlight w:val="none"/>
                </w:rPr>
                <w:br w:type="textWrapping"/>
              </w:r>
            </w:del>
            <w:del w:id="76" w:author="Apple" w:date="2024-07-15T19:29:00Z">
              <w:r>
                <w:rPr>
                  <w:rFonts w:hint="eastAsia" w:ascii="宋体" w:hAnsi="宋体" w:cs="宋体"/>
                  <w:color w:val="auto"/>
                  <w:kern w:val="0"/>
                  <w:szCs w:val="21"/>
                  <w:highlight w:val="none"/>
                </w:rPr>
                <w:delText>10.</w:delText>
              </w:r>
            </w:del>
            <w:r>
              <w:rPr>
                <w:rFonts w:hint="eastAsia" w:ascii="宋体" w:hAnsi="宋体" w:cs="宋体"/>
                <w:color w:val="auto"/>
                <w:kern w:val="0"/>
                <w:szCs w:val="21"/>
                <w:highlight w:val="none"/>
              </w:rPr>
              <w:t>≥1路USB 2.0,，支持本地存储功能，无需 NVR 即可实现 U 盘本地直接录制。</w:t>
            </w:r>
          </w:p>
        </w:tc>
        <w:tc>
          <w:tcPr>
            <w:tcW w:w="698"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1</w:t>
            </w:r>
          </w:p>
        </w:tc>
        <w:tc>
          <w:tcPr>
            <w:tcW w:w="693" w:type="dxa"/>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4" w:hRule="atLeast"/>
          <w:jc w:val="center"/>
        </w:trPr>
        <w:tc>
          <w:tcPr>
            <w:tcW w:w="650"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2</w:t>
            </w:r>
          </w:p>
        </w:tc>
        <w:tc>
          <w:tcPr>
            <w:tcW w:w="1569"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无线会议主机</w:t>
            </w:r>
          </w:p>
        </w:tc>
        <w:tc>
          <w:tcPr>
            <w:tcW w:w="6241" w:type="dxa"/>
            <w:shd w:val="clear" w:color="auto" w:fill="auto"/>
            <w:vAlign w:val="center"/>
          </w:tcPr>
          <w:p>
            <w:pPr>
              <w:widowControl/>
              <w:jc w:val="left"/>
              <w:textAlignment w:val="center"/>
              <w:rPr>
                <w:ins w:id="77" w:author="Apple" w:date="2024-07-15T20:35:00Z"/>
                <w:rStyle w:val="408"/>
                <w:color w:val="auto"/>
                <w:sz w:val="21"/>
                <w:szCs w:val="21"/>
                <w:highlight w:val="none"/>
              </w:rPr>
            </w:pPr>
            <w:r>
              <w:rPr>
                <w:rFonts w:hint="eastAsia" w:ascii="宋体" w:hAnsi="宋体" w:cs="宋体"/>
                <w:color w:val="auto"/>
                <w:kern w:val="0"/>
                <w:szCs w:val="21"/>
                <w:highlight w:val="none"/>
              </w:rPr>
              <w:t>1.▲通信频段：宽于或等于650MHz~700MHz数字通信，5组通信频段可选，互不干扰（提供具备CNAS资格认可的第三方检测机构出具的检测报告复印件并加盖厂商公章）；</w:t>
            </w:r>
            <w:r>
              <w:rPr>
                <w:rStyle w:val="408"/>
                <w:rFonts w:hint="default"/>
                <w:color w:val="auto"/>
                <w:sz w:val="21"/>
                <w:szCs w:val="21"/>
                <w:highlight w:val="none"/>
              </w:rPr>
              <w:br w:type="textWrapping"/>
            </w:r>
            <w:r>
              <w:rPr>
                <w:rFonts w:hint="eastAsia" w:ascii="宋体" w:hAnsi="宋体" w:cs="宋体"/>
                <w:color w:val="auto"/>
                <w:kern w:val="0"/>
                <w:szCs w:val="21"/>
                <w:highlight w:val="none"/>
              </w:rPr>
              <w:t>2.▲调制方式：采用UHF数字无线音频通信频段，结合数字会议系统架构（提供具备CNAS资格认可的第三方检测机构出具的检测报告复印件并加盖厂商公章）；</w:t>
            </w:r>
            <w:r>
              <w:rPr>
                <w:rStyle w:val="408"/>
                <w:rFonts w:hint="default"/>
                <w:color w:val="auto"/>
                <w:sz w:val="21"/>
                <w:szCs w:val="21"/>
                <w:highlight w:val="none"/>
              </w:rPr>
              <w:br w:type="textWrapping"/>
            </w:r>
            <w:r>
              <w:rPr>
                <w:rFonts w:hint="eastAsia" w:ascii="宋体" w:hAnsi="宋体" w:cs="宋体"/>
                <w:color w:val="auto"/>
                <w:kern w:val="0"/>
                <w:szCs w:val="21"/>
                <w:highlight w:val="none"/>
              </w:rPr>
              <w:t>3.▲传输距离：天线信号传输距离半径0-20m左右（提供具备CNAS资格认可的第三方检测机构出具的检测报告复印件并加盖厂商公章）；</w:t>
            </w:r>
            <w:r>
              <w:rPr>
                <w:rStyle w:val="408"/>
                <w:rFonts w:hint="default"/>
                <w:color w:val="auto"/>
                <w:sz w:val="21"/>
                <w:szCs w:val="21"/>
                <w:highlight w:val="none"/>
              </w:rPr>
              <w:br w:type="textWrapping"/>
            </w:r>
            <w:r>
              <w:rPr>
                <w:rStyle w:val="408"/>
                <w:rFonts w:hint="default"/>
                <w:color w:val="auto"/>
                <w:sz w:val="21"/>
                <w:szCs w:val="21"/>
                <w:highlight w:val="none"/>
              </w:rPr>
              <w:t>4.可选配带有4进2出SDI高清无缝切换矩阵，轻松管理多路视频信号。连接显示终端，支持画面无缝4分割，切换无黑屏，并实现电子会标、滚动字幕等功能；</w:t>
            </w:r>
            <w:r>
              <w:rPr>
                <w:rStyle w:val="408"/>
                <w:rFonts w:hint="default"/>
                <w:color w:val="auto"/>
                <w:sz w:val="21"/>
                <w:szCs w:val="21"/>
                <w:highlight w:val="none"/>
              </w:rPr>
              <w:br w:type="textWrapping"/>
            </w:r>
            <w:r>
              <w:rPr>
                <w:rFonts w:hint="eastAsia" w:ascii="宋体" w:hAnsi="宋体" w:cs="宋体"/>
                <w:color w:val="auto"/>
                <w:kern w:val="0"/>
                <w:szCs w:val="21"/>
                <w:highlight w:val="none"/>
              </w:rPr>
              <w:t>5.▲具备不低于2路卡侬输出口，不低于2路凤凰端子输出口，可与多种音频设备连接，使得系统得扩展更加灵活，具有不低于一路麦克风输入接口，可单独连接麦克风等其它音源设备；（提供产品接口截图证明）</w:t>
            </w:r>
            <w:del w:id="78" w:author="Apple" w:date="2024-07-15T19:30:00Z">
              <w:r>
                <w:rPr>
                  <w:rStyle w:val="408"/>
                  <w:rFonts w:hint="default"/>
                  <w:color w:val="auto"/>
                  <w:sz w:val="21"/>
                  <w:szCs w:val="21"/>
                  <w:highlight w:val="none"/>
                </w:rPr>
                <w:br w:type="textWrapping"/>
              </w:r>
            </w:del>
            <w:del w:id="79" w:author="Apple" w:date="2024-07-15T19:30:00Z">
              <w:r>
                <w:rPr>
                  <w:rStyle w:val="408"/>
                  <w:rFonts w:hint="default"/>
                  <w:color w:val="auto"/>
                  <w:sz w:val="21"/>
                  <w:szCs w:val="21"/>
                  <w:highlight w:val="none"/>
                </w:rPr>
                <w:delText>6.多样化的软件模块，可实现三种工作模式.自定义主席/执行主席.会务管理.摄像跟踪.视频切换.中控控制等功能，极具系统前瞻性，未来可轻松扩展新功能。</w:delText>
              </w:r>
            </w:del>
            <w:r>
              <w:rPr>
                <w:rStyle w:val="408"/>
                <w:rFonts w:hint="default"/>
                <w:color w:val="auto"/>
                <w:sz w:val="21"/>
                <w:szCs w:val="21"/>
                <w:highlight w:val="none"/>
              </w:rPr>
              <w:br w:type="textWrapping"/>
            </w:r>
            <w:del w:id="80" w:author="Apple" w:date="2024-07-15T19:30:00Z">
              <w:r>
                <w:rPr>
                  <w:rFonts w:hint="eastAsia" w:ascii="宋体" w:hAnsi="宋体" w:cs="宋体"/>
                  <w:color w:val="auto"/>
                  <w:kern w:val="0"/>
                  <w:szCs w:val="21"/>
                  <w:highlight w:val="none"/>
                </w:rPr>
                <w:delText>7</w:delText>
              </w:r>
            </w:del>
            <w:ins w:id="81" w:author="Apple" w:date="2024-07-15T19:30:00Z">
              <w:r>
                <w:rPr>
                  <w:rFonts w:ascii="宋体" w:hAnsi="宋体" w:cs="宋体"/>
                  <w:color w:val="auto"/>
                  <w:kern w:val="0"/>
                  <w:szCs w:val="21"/>
                  <w:highlight w:val="none"/>
                </w:rPr>
                <w:t>6</w:t>
              </w:r>
            </w:ins>
            <w:r>
              <w:rPr>
                <w:rFonts w:hint="eastAsia" w:ascii="宋体" w:hAnsi="宋体" w:cs="宋体"/>
                <w:color w:val="auto"/>
                <w:kern w:val="0"/>
                <w:szCs w:val="21"/>
                <w:highlight w:val="none"/>
              </w:rPr>
              <w:t>.▲主席设定：同时开启单元数量≥4支，支持话筒自定义主席机配置功能，可根据现场需要，临时定义任意单元为主席单元（提供第三方检测机构出具的检测报告复印件并加盖厂商公章）；</w:t>
            </w:r>
            <w:r>
              <w:rPr>
                <w:rStyle w:val="408"/>
                <w:rFonts w:hint="default"/>
                <w:color w:val="auto"/>
                <w:sz w:val="21"/>
                <w:szCs w:val="21"/>
                <w:highlight w:val="none"/>
              </w:rPr>
              <w:br w:type="textWrapping"/>
            </w:r>
            <w:del w:id="82" w:author="Apple" w:date="2024-07-15T19:30:00Z">
              <w:r>
                <w:rPr>
                  <w:rStyle w:val="408"/>
                  <w:rFonts w:hint="default"/>
                  <w:color w:val="auto"/>
                  <w:sz w:val="21"/>
                  <w:szCs w:val="21"/>
                  <w:highlight w:val="none"/>
                </w:rPr>
                <w:delText>8</w:delText>
              </w:r>
            </w:del>
            <w:ins w:id="83" w:author="Apple" w:date="2024-07-15T19:30:00Z">
              <w:r>
                <w:rPr>
                  <w:rStyle w:val="408"/>
                  <w:rFonts w:hint="default"/>
                  <w:color w:val="auto"/>
                  <w:sz w:val="21"/>
                  <w:szCs w:val="21"/>
                  <w:highlight w:val="none"/>
                </w:rPr>
                <w:t>7</w:t>
              </w:r>
            </w:ins>
            <w:r>
              <w:rPr>
                <w:rStyle w:val="408"/>
                <w:rFonts w:hint="default"/>
                <w:color w:val="auto"/>
                <w:sz w:val="21"/>
                <w:szCs w:val="21"/>
                <w:highlight w:val="none"/>
              </w:rPr>
              <w:t>.配备≥2.7英寸LCD显示屏，中英文菜单显示；</w:t>
            </w:r>
            <w:r>
              <w:rPr>
                <w:rStyle w:val="408"/>
                <w:rFonts w:hint="default"/>
                <w:color w:val="auto"/>
                <w:sz w:val="21"/>
                <w:szCs w:val="21"/>
                <w:highlight w:val="none"/>
              </w:rPr>
              <w:br w:type="textWrapping"/>
            </w:r>
            <w:del w:id="84" w:author="Apple" w:date="2024-07-15T19:30:00Z">
              <w:r>
                <w:rPr>
                  <w:rFonts w:hint="eastAsia" w:ascii="宋体" w:hAnsi="宋体" w:cs="宋体"/>
                  <w:color w:val="auto"/>
                  <w:kern w:val="0"/>
                  <w:szCs w:val="21"/>
                  <w:highlight w:val="none"/>
                </w:rPr>
                <w:delText>9</w:delText>
              </w:r>
            </w:del>
            <w:ins w:id="85" w:author="Apple" w:date="2024-07-15T19:30:00Z">
              <w:r>
                <w:rPr>
                  <w:rFonts w:ascii="宋体" w:hAnsi="宋体" w:cs="宋体"/>
                  <w:color w:val="auto"/>
                  <w:kern w:val="0"/>
                  <w:szCs w:val="21"/>
                  <w:highlight w:val="none"/>
                </w:rPr>
                <w:t>8</w:t>
              </w:r>
            </w:ins>
            <w:r>
              <w:rPr>
                <w:rFonts w:hint="eastAsia" w:ascii="宋体" w:hAnsi="宋体" w:cs="宋体"/>
                <w:color w:val="auto"/>
                <w:kern w:val="0"/>
                <w:szCs w:val="21"/>
                <w:highlight w:val="none"/>
              </w:rPr>
              <w:t>.▲具有不低于1路RS-485接口，具备不低于1个RS-232接口，具备不低于1路EXTEN接口做为预留接口（提供接口截图证明并加盖厂商公章）；</w:t>
            </w:r>
            <w:del w:id="86" w:author="Apple" w:date="2024-07-15T20:40:00Z">
              <w:r>
                <w:rPr>
                  <w:rStyle w:val="408"/>
                  <w:rFonts w:hint="default"/>
                  <w:color w:val="auto"/>
                  <w:sz w:val="21"/>
                  <w:szCs w:val="21"/>
                  <w:highlight w:val="none"/>
                </w:rPr>
                <w:br w:type="textWrapping"/>
              </w:r>
            </w:del>
          </w:p>
          <w:p>
            <w:pPr>
              <w:widowControl/>
              <w:jc w:val="left"/>
              <w:textAlignment w:val="center"/>
              <w:rPr>
                <w:ins w:id="87" w:author="Apple" w:date="2024-07-15T20:35:00Z"/>
                <w:rStyle w:val="408"/>
                <w:color w:val="auto"/>
                <w:sz w:val="21"/>
                <w:szCs w:val="21"/>
                <w:highlight w:val="none"/>
                <w:rPrChange w:id="88" w:author="Apple" w:date="2024-07-15T20:40:00Z">
                  <w:rPr>
                    <w:ins w:id="89" w:author="Apple" w:date="2024-07-15T20:35:00Z"/>
                    <w:rStyle w:val="408"/>
                    <w:sz w:val="21"/>
                    <w:szCs w:val="21"/>
                  </w:rPr>
                </w:rPrChange>
              </w:rPr>
            </w:pPr>
            <w:ins w:id="90" w:author="Apple" w:date="2024-07-15T20:40:00Z">
              <w:r>
                <w:rPr>
                  <w:rStyle w:val="408"/>
                  <w:rFonts w:hint="default"/>
                  <w:color w:val="auto"/>
                  <w:sz w:val="21"/>
                  <w:szCs w:val="21"/>
                  <w:highlight w:val="none"/>
                  <w:rPrChange w:id="91" w:author="Apple" w:date="2024-07-15T20:40:00Z">
                    <w:rPr>
                      <w:rStyle w:val="408"/>
                      <w:rFonts w:hint="default"/>
                      <w:sz w:val="21"/>
                      <w:szCs w:val="21"/>
                    </w:rPr>
                  </w:rPrChange>
                </w:rPr>
                <w:t>9</w:t>
              </w:r>
            </w:ins>
            <w:ins w:id="92" w:author="Apple" w:date="2024-07-15T20:35:00Z">
              <w:r>
                <w:rPr>
                  <w:rStyle w:val="408"/>
                  <w:color w:val="auto"/>
                  <w:sz w:val="21"/>
                  <w:szCs w:val="21"/>
                  <w:highlight w:val="none"/>
                  <w:rPrChange w:id="93" w:author="Apple" w:date="2024-07-15T20:40:00Z">
                    <w:rPr>
                      <w:rStyle w:val="408"/>
                      <w:sz w:val="21"/>
                      <w:szCs w:val="21"/>
                    </w:rPr>
                  </w:rPrChange>
                </w:rPr>
                <w:t>.</w:t>
              </w:r>
            </w:ins>
            <w:ins w:id="94" w:author="Apple" w:date="2024-07-15T20:40:00Z">
              <w:r>
                <w:rPr>
                  <w:rFonts w:hint="eastAsia" w:ascii="宋体" w:hAnsi="宋体" w:cs="宋体"/>
                  <w:color w:val="auto"/>
                  <w:kern w:val="0"/>
                  <w:szCs w:val="21"/>
                  <w:highlight w:val="none"/>
                </w:rPr>
                <w:t xml:space="preserve"> ▲</w:t>
              </w:r>
            </w:ins>
            <w:ins w:id="95" w:author="Apple" w:date="2024-07-15T20:35:00Z">
              <w:r>
                <w:rPr>
                  <w:rStyle w:val="408"/>
                  <w:color w:val="auto"/>
                  <w:sz w:val="21"/>
                  <w:szCs w:val="21"/>
                  <w:highlight w:val="none"/>
                  <w:rPrChange w:id="96" w:author="Apple" w:date="2024-07-15T20:40:00Z">
                    <w:rPr>
                      <w:rStyle w:val="408"/>
                      <w:sz w:val="21"/>
                      <w:szCs w:val="21"/>
                    </w:rPr>
                  </w:rPrChange>
                </w:rPr>
                <w:t>具有发明专利证书（提供认证资质复印件并加盖厂商公章）；</w:t>
              </w:r>
            </w:ins>
          </w:p>
          <w:p>
            <w:pPr>
              <w:widowControl/>
              <w:jc w:val="left"/>
              <w:textAlignment w:val="center"/>
              <w:rPr>
                <w:rFonts w:ascii="宋体" w:hAnsi="宋体" w:cs="宋体"/>
                <w:color w:val="auto"/>
                <w:szCs w:val="21"/>
                <w:highlight w:val="none"/>
              </w:rPr>
            </w:pPr>
            <w:ins w:id="97" w:author="Apple" w:date="2024-07-15T20:40:00Z">
              <w:r>
                <w:rPr>
                  <w:rStyle w:val="408"/>
                  <w:rFonts w:hint="default"/>
                  <w:color w:val="auto"/>
                  <w:sz w:val="21"/>
                  <w:szCs w:val="21"/>
                  <w:highlight w:val="none"/>
                  <w:rPrChange w:id="98" w:author="Apple" w:date="2024-07-15T20:40:00Z">
                    <w:rPr>
                      <w:rStyle w:val="408"/>
                      <w:rFonts w:hint="default"/>
                      <w:sz w:val="21"/>
                      <w:szCs w:val="21"/>
                    </w:rPr>
                  </w:rPrChange>
                </w:rPr>
                <w:t>10</w:t>
              </w:r>
            </w:ins>
            <w:ins w:id="99" w:author="Apple" w:date="2024-07-15T20:35:00Z">
              <w:r>
                <w:rPr>
                  <w:rStyle w:val="408"/>
                  <w:color w:val="auto"/>
                  <w:sz w:val="21"/>
                  <w:szCs w:val="21"/>
                  <w:highlight w:val="none"/>
                  <w:rPrChange w:id="100" w:author="Apple" w:date="2024-07-15T20:40:00Z">
                    <w:rPr>
                      <w:rStyle w:val="408"/>
                      <w:sz w:val="21"/>
                      <w:szCs w:val="21"/>
                    </w:rPr>
                  </w:rPrChange>
                </w:rPr>
                <w:t>.</w:t>
              </w:r>
            </w:ins>
            <w:ins w:id="101" w:author="Apple" w:date="2024-07-15T20:40:00Z">
              <w:r>
                <w:rPr>
                  <w:rFonts w:hint="eastAsia" w:ascii="宋体" w:hAnsi="宋体" w:cs="宋体"/>
                  <w:color w:val="auto"/>
                  <w:kern w:val="0"/>
                  <w:szCs w:val="21"/>
                  <w:highlight w:val="none"/>
                </w:rPr>
                <w:t>▲</w:t>
              </w:r>
            </w:ins>
            <w:ins w:id="102" w:author="Apple" w:date="2024-07-15T20:35:00Z">
              <w:r>
                <w:rPr>
                  <w:rStyle w:val="408"/>
                  <w:color w:val="auto"/>
                  <w:sz w:val="21"/>
                  <w:szCs w:val="21"/>
                  <w:highlight w:val="none"/>
                  <w:rPrChange w:id="103" w:author="Apple" w:date="2024-07-15T20:40:00Z">
                    <w:rPr>
                      <w:rStyle w:val="408"/>
                      <w:sz w:val="21"/>
                      <w:szCs w:val="21"/>
                    </w:rPr>
                  </w:rPrChange>
                </w:rPr>
                <w:t>具有实用新型专利证书（提供认证资质复印件并加盖厂商公章）；</w:t>
              </w:r>
            </w:ins>
            <w:del w:id="104" w:author="Apple" w:date="2024-07-15T19:30:00Z">
              <w:r>
                <w:rPr>
                  <w:rStyle w:val="408"/>
                  <w:rFonts w:hint="default"/>
                  <w:color w:val="auto"/>
                  <w:sz w:val="21"/>
                  <w:szCs w:val="21"/>
                  <w:highlight w:val="none"/>
                </w:rPr>
                <w:delText>10.具备话筒管理模式：数量限制、先进先出、声控模式管理模式；</w:delText>
              </w:r>
            </w:del>
            <w:del w:id="105" w:author="Apple" w:date="2024-07-15T19:30:00Z">
              <w:r>
                <w:rPr>
                  <w:rStyle w:val="408"/>
                  <w:rFonts w:hint="default"/>
                  <w:color w:val="auto"/>
                  <w:sz w:val="21"/>
                  <w:szCs w:val="21"/>
                  <w:highlight w:val="none"/>
                </w:rPr>
                <w:br w:type="textWrapping"/>
              </w:r>
            </w:del>
            <w:del w:id="106" w:author="Apple" w:date="2024-07-15T19:30:00Z">
              <w:r>
                <w:rPr>
                  <w:rStyle w:val="408"/>
                  <w:rFonts w:hint="default"/>
                  <w:color w:val="auto"/>
                  <w:sz w:val="21"/>
                  <w:szCs w:val="21"/>
                  <w:highlight w:val="none"/>
                </w:rPr>
                <w:delText>11.支持≥255台数字会议发言单元正常使用；</w:delText>
              </w:r>
            </w:del>
            <w:del w:id="107" w:author="Apple" w:date="2024-07-15T19:30:00Z">
              <w:r>
                <w:rPr>
                  <w:rStyle w:val="408"/>
                  <w:rFonts w:hint="default"/>
                  <w:color w:val="auto"/>
                  <w:sz w:val="21"/>
                  <w:szCs w:val="21"/>
                  <w:highlight w:val="none"/>
                </w:rPr>
                <w:br w:type="textWrapping"/>
              </w:r>
            </w:del>
            <w:del w:id="108" w:author="Apple" w:date="2024-07-15T19:30:00Z">
              <w:r>
                <w:rPr>
                  <w:rStyle w:val="408"/>
                  <w:rFonts w:hint="default"/>
                  <w:color w:val="auto"/>
                  <w:sz w:val="21"/>
                  <w:szCs w:val="21"/>
                  <w:highlight w:val="none"/>
                </w:rPr>
                <w:delText>12.信噪比:≥102dB，动态范围:≥106dB；</w:delText>
              </w:r>
            </w:del>
            <w:del w:id="109" w:author="Apple" w:date="2024-07-15T19:31:00Z">
              <w:r>
                <w:rPr>
                  <w:rStyle w:val="408"/>
                  <w:rFonts w:hint="default"/>
                  <w:color w:val="auto"/>
                  <w:sz w:val="21"/>
                  <w:szCs w:val="21"/>
                  <w:highlight w:val="none"/>
                </w:rPr>
                <w:br w:type="textWrapping"/>
              </w:r>
            </w:del>
            <w:del w:id="110" w:author="Apple" w:date="2024-07-15T19:31:00Z">
              <w:r>
                <w:rPr>
                  <w:rFonts w:hint="eastAsia" w:ascii="宋体" w:hAnsi="宋体" w:cs="宋体"/>
                  <w:color w:val="auto"/>
                  <w:kern w:val="0"/>
                  <w:szCs w:val="21"/>
                  <w:highlight w:val="none"/>
                </w:rPr>
                <w:delText>13.▲具有CE认证证书（提供认证资质复印件并加盖厂商公章）；</w:delText>
              </w:r>
            </w:del>
            <w:del w:id="111" w:author="Apple" w:date="2024-07-15T19:29:00Z">
              <w:r>
                <w:rPr>
                  <w:rFonts w:hint="eastAsia" w:ascii="宋体" w:hAnsi="宋体" w:cs="宋体"/>
                  <w:color w:val="auto"/>
                  <w:kern w:val="0"/>
                  <w:szCs w:val="21"/>
                  <w:highlight w:val="none"/>
                </w:rPr>
                <w:br w:type="textWrapping"/>
              </w:r>
            </w:del>
            <w:del w:id="112" w:author="Apple" w:date="2024-07-15T19:29:00Z">
              <w:r>
                <w:rPr>
                  <w:rFonts w:hint="eastAsia" w:ascii="宋体" w:hAnsi="宋体" w:cs="宋体"/>
                  <w:color w:val="auto"/>
                  <w:kern w:val="0"/>
                  <w:szCs w:val="21"/>
                  <w:highlight w:val="none"/>
                </w:rPr>
                <w:delText>14.▲</w:delText>
              </w:r>
            </w:del>
            <w:del w:id="113" w:author="Apple" w:date="2024-07-15T19:31:00Z">
              <w:r>
                <w:rPr>
                  <w:rFonts w:hint="eastAsia" w:ascii="宋体" w:hAnsi="宋体" w:cs="宋体"/>
                  <w:color w:val="auto"/>
                  <w:kern w:val="0"/>
                  <w:szCs w:val="21"/>
                  <w:highlight w:val="none"/>
                </w:rPr>
                <w:delText>具有发明专利证书（提供认证资质复印件并加盖厂商公章）；</w:delText>
              </w:r>
            </w:del>
            <w:del w:id="114" w:author="Apple" w:date="2024-07-15T19:29:00Z">
              <w:r>
                <w:rPr>
                  <w:rFonts w:hint="eastAsia" w:ascii="宋体" w:hAnsi="宋体" w:cs="宋体"/>
                  <w:color w:val="auto"/>
                  <w:kern w:val="0"/>
                  <w:szCs w:val="21"/>
                  <w:highlight w:val="none"/>
                </w:rPr>
                <w:br w:type="textWrapping"/>
              </w:r>
            </w:del>
            <w:del w:id="115" w:author="Apple" w:date="2024-07-15T19:29:00Z">
              <w:r>
                <w:rPr>
                  <w:rFonts w:hint="eastAsia" w:ascii="宋体" w:hAnsi="宋体" w:cs="宋体"/>
                  <w:color w:val="auto"/>
                  <w:kern w:val="0"/>
                  <w:szCs w:val="21"/>
                  <w:highlight w:val="none"/>
                </w:rPr>
                <w:delText>15.▲</w:delText>
              </w:r>
            </w:del>
            <w:del w:id="116" w:author="Apple" w:date="2024-07-15T19:31:00Z">
              <w:r>
                <w:rPr>
                  <w:rFonts w:hint="eastAsia" w:ascii="宋体" w:hAnsi="宋体" w:cs="宋体"/>
                  <w:color w:val="auto"/>
                  <w:kern w:val="0"/>
                  <w:szCs w:val="21"/>
                  <w:highlight w:val="none"/>
                </w:rPr>
                <w:delText>具有实用新型专利证书（提供认证资质复印件并加盖厂商公章）。</w:delText>
              </w:r>
            </w:del>
          </w:p>
        </w:tc>
        <w:tc>
          <w:tcPr>
            <w:tcW w:w="698"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1</w:t>
            </w:r>
          </w:p>
        </w:tc>
        <w:tc>
          <w:tcPr>
            <w:tcW w:w="693" w:type="dxa"/>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2" w:hRule="atLeast"/>
          <w:jc w:val="center"/>
        </w:trPr>
        <w:tc>
          <w:tcPr>
            <w:tcW w:w="650"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3</w:t>
            </w:r>
          </w:p>
        </w:tc>
        <w:tc>
          <w:tcPr>
            <w:tcW w:w="1569" w:type="dxa"/>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无线主席单元</w:t>
            </w:r>
          </w:p>
        </w:tc>
        <w:tc>
          <w:tcPr>
            <w:tcW w:w="6241" w:type="dxa"/>
            <w:shd w:val="clear" w:color="auto" w:fill="FFFFFF"/>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1.▲内置≥14毫米直径镀金电容式收音头（提供具备第三方权威检测机构出具的检测报告复印件并加盖厂商公章）；</w:t>
            </w:r>
            <w:r>
              <w:rPr>
                <w:rStyle w:val="408"/>
                <w:rFonts w:hint="default"/>
                <w:color w:val="auto"/>
                <w:sz w:val="21"/>
                <w:szCs w:val="21"/>
                <w:highlight w:val="none"/>
              </w:rPr>
              <w:br w:type="textWrapping"/>
            </w:r>
            <w:r>
              <w:rPr>
                <w:rStyle w:val="408"/>
                <w:rFonts w:hint="default"/>
                <w:color w:val="auto"/>
                <w:sz w:val="21"/>
                <w:szCs w:val="21"/>
                <w:highlight w:val="none"/>
              </w:rPr>
              <w:t>2.采用UHF数字无线通讯；</w:t>
            </w:r>
            <w:r>
              <w:rPr>
                <w:rStyle w:val="408"/>
                <w:rFonts w:hint="default"/>
                <w:color w:val="auto"/>
                <w:sz w:val="21"/>
                <w:szCs w:val="21"/>
                <w:highlight w:val="none"/>
              </w:rPr>
              <w:br w:type="textWrapping"/>
            </w:r>
            <w:r>
              <w:rPr>
                <w:rStyle w:val="408"/>
                <w:rFonts w:hint="default"/>
                <w:color w:val="auto"/>
                <w:sz w:val="21"/>
                <w:szCs w:val="21"/>
                <w:highlight w:val="none"/>
              </w:rPr>
              <w:t>3.内置聚合物电池，持续发言时间≥48小时；</w:t>
            </w:r>
            <w:del w:id="117" w:author="Apple" w:date="2024-07-15T19:33:00Z">
              <w:r>
                <w:rPr>
                  <w:rStyle w:val="408"/>
                  <w:rFonts w:hint="default"/>
                  <w:color w:val="auto"/>
                  <w:sz w:val="21"/>
                  <w:szCs w:val="21"/>
                  <w:highlight w:val="none"/>
                </w:rPr>
                <w:br w:type="textWrapping"/>
              </w:r>
            </w:del>
            <w:del w:id="118" w:author="Apple" w:date="2024-07-15T19:32:00Z">
              <w:r>
                <w:rPr>
                  <w:rStyle w:val="408"/>
                  <w:rFonts w:hint="default"/>
                  <w:color w:val="auto"/>
                  <w:sz w:val="21"/>
                  <w:szCs w:val="21"/>
                  <w:highlight w:val="none"/>
                </w:rPr>
                <w:delText>4.具备音量调节按钮和电池电量显示功能；</w:delText>
              </w:r>
            </w:del>
            <w:r>
              <w:rPr>
                <w:rStyle w:val="408"/>
                <w:rFonts w:hint="default"/>
                <w:color w:val="auto"/>
                <w:sz w:val="21"/>
                <w:szCs w:val="21"/>
                <w:highlight w:val="none"/>
              </w:rPr>
              <w:br w:type="textWrapping"/>
            </w:r>
            <w:ins w:id="119" w:author="Apple" w:date="2024-07-15T19:33:00Z">
              <w:r>
                <w:rPr>
                  <w:rStyle w:val="408"/>
                  <w:rFonts w:hint="default"/>
                  <w:color w:val="auto"/>
                  <w:sz w:val="21"/>
                  <w:szCs w:val="21"/>
                  <w:highlight w:val="none"/>
                </w:rPr>
                <w:t>4</w:t>
              </w:r>
            </w:ins>
            <w:del w:id="120" w:author="Apple" w:date="2024-07-15T19:33:00Z">
              <w:r>
                <w:rPr>
                  <w:rStyle w:val="408"/>
                  <w:rFonts w:hint="default"/>
                  <w:color w:val="auto"/>
                  <w:sz w:val="21"/>
                  <w:szCs w:val="21"/>
                  <w:highlight w:val="none"/>
                </w:rPr>
                <w:delText>5</w:delText>
              </w:r>
            </w:del>
            <w:r>
              <w:rPr>
                <w:rStyle w:val="408"/>
                <w:rFonts w:hint="default"/>
                <w:color w:val="auto"/>
                <w:sz w:val="21"/>
                <w:szCs w:val="21"/>
                <w:highlight w:val="none"/>
              </w:rPr>
              <w:t>.信噪比：≥80dB；</w:t>
            </w:r>
            <w:del w:id="121" w:author="Apple" w:date="2024-07-15T19:33:00Z">
              <w:r>
                <w:rPr>
                  <w:rStyle w:val="408"/>
                  <w:rFonts w:hint="default"/>
                  <w:color w:val="auto"/>
                  <w:sz w:val="21"/>
                  <w:szCs w:val="21"/>
                  <w:highlight w:val="none"/>
                </w:rPr>
                <w:br w:type="textWrapping"/>
              </w:r>
            </w:del>
            <w:del w:id="122" w:author="Apple" w:date="2024-07-15T19:32:00Z">
              <w:r>
                <w:rPr>
                  <w:rStyle w:val="408"/>
                  <w:rFonts w:hint="default"/>
                  <w:color w:val="auto"/>
                  <w:sz w:val="21"/>
                  <w:szCs w:val="21"/>
                  <w:highlight w:val="none"/>
                </w:rPr>
                <w:delText>6.信道间隔：≥250KHz；</w:delText>
              </w:r>
            </w:del>
            <w:del w:id="123" w:author="Apple" w:date="2024-07-15T19:32:00Z">
              <w:r>
                <w:rPr>
                  <w:rStyle w:val="408"/>
                  <w:rFonts w:hint="default"/>
                  <w:color w:val="auto"/>
                  <w:sz w:val="21"/>
                  <w:szCs w:val="21"/>
                  <w:highlight w:val="none"/>
                </w:rPr>
                <w:br w:type="textWrapping"/>
              </w:r>
            </w:del>
            <w:del w:id="124" w:author="Apple" w:date="2024-07-15T19:32:00Z">
              <w:r>
                <w:rPr>
                  <w:rStyle w:val="408"/>
                  <w:rFonts w:hint="default"/>
                  <w:color w:val="auto"/>
                  <w:sz w:val="21"/>
                  <w:szCs w:val="21"/>
                  <w:highlight w:val="none"/>
                </w:rPr>
                <w:delText>7.灵敏度：≥-28dB；</w:delText>
              </w:r>
            </w:del>
            <w:del w:id="125" w:author="Apple" w:date="2024-07-15T19:32:00Z">
              <w:r>
                <w:rPr>
                  <w:rStyle w:val="408"/>
                  <w:rFonts w:hint="default"/>
                  <w:color w:val="auto"/>
                  <w:sz w:val="21"/>
                  <w:szCs w:val="21"/>
                  <w:highlight w:val="none"/>
                </w:rPr>
                <w:br w:type="textWrapping"/>
              </w:r>
            </w:del>
            <w:del w:id="126" w:author="Apple" w:date="2024-07-15T19:32:00Z">
              <w:r>
                <w:rPr>
                  <w:rStyle w:val="408"/>
                  <w:rFonts w:hint="default"/>
                  <w:color w:val="auto"/>
                  <w:sz w:val="21"/>
                  <w:szCs w:val="21"/>
                  <w:highlight w:val="none"/>
                </w:rPr>
                <w:delText>8.频率响应：≥30Hz-18KHz；</w:delText>
              </w:r>
            </w:del>
            <w:del w:id="127" w:author="Apple" w:date="2024-07-15T19:32:00Z">
              <w:r>
                <w:rPr>
                  <w:rStyle w:val="408"/>
                  <w:rFonts w:hint="default"/>
                  <w:color w:val="auto"/>
                  <w:sz w:val="21"/>
                  <w:szCs w:val="21"/>
                  <w:highlight w:val="none"/>
                </w:rPr>
                <w:br w:type="textWrapping"/>
              </w:r>
            </w:del>
            <w:del w:id="128" w:author="Apple" w:date="2024-07-15T19:32:00Z">
              <w:r>
                <w:rPr>
                  <w:rStyle w:val="408"/>
                  <w:rFonts w:hint="default"/>
                  <w:color w:val="auto"/>
                  <w:sz w:val="21"/>
                  <w:szCs w:val="21"/>
                  <w:highlight w:val="none"/>
                </w:rPr>
                <w:delText>9.最大声压级：≥130dB (THD&lt;3%)；</w:delText>
              </w:r>
            </w:del>
            <w:r>
              <w:rPr>
                <w:rStyle w:val="408"/>
                <w:rFonts w:hint="default"/>
                <w:color w:val="auto"/>
                <w:sz w:val="21"/>
                <w:szCs w:val="21"/>
                <w:highlight w:val="none"/>
              </w:rPr>
              <w:br w:type="textWrapping"/>
            </w:r>
            <w:del w:id="129" w:author="Apple" w:date="2024-07-15T19:33:00Z">
              <w:r>
                <w:rPr>
                  <w:rFonts w:hint="eastAsia" w:ascii="宋体" w:hAnsi="宋体" w:cs="宋体"/>
                  <w:color w:val="auto"/>
                  <w:kern w:val="0"/>
                  <w:szCs w:val="21"/>
                  <w:highlight w:val="none"/>
                </w:rPr>
                <w:delText>10</w:delText>
              </w:r>
            </w:del>
            <w:ins w:id="130" w:author="Apple" w:date="2024-07-15T19:33:00Z">
              <w:r>
                <w:rPr>
                  <w:rFonts w:ascii="宋体" w:hAnsi="宋体" w:cs="宋体"/>
                  <w:color w:val="auto"/>
                  <w:kern w:val="0"/>
                  <w:szCs w:val="21"/>
                  <w:highlight w:val="none"/>
                </w:rPr>
                <w:t>5</w:t>
              </w:r>
            </w:ins>
            <w:r>
              <w:rPr>
                <w:rFonts w:hint="eastAsia" w:ascii="宋体" w:hAnsi="宋体" w:cs="宋体"/>
                <w:color w:val="auto"/>
                <w:kern w:val="0"/>
                <w:szCs w:val="21"/>
                <w:highlight w:val="none"/>
              </w:rPr>
              <w:t>.▲自定义主席机配置功能，可根据现场需要，临时定义任意单元为主席单元，主席单元无数量限制（提供具备第三方权威检测机构出具的检测报告复印件并加盖厂商公章）；</w:t>
            </w:r>
            <w:r>
              <w:rPr>
                <w:rStyle w:val="408"/>
                <w:rFonts w:hint="default"/>
                <w:color w:val="auto"/>
                <w:sz w:val="21"/>
                <w:szCs w:val="21"/>
                <w:highlight w:val="none"/>
              </w:rPr>
              <w:br w:type="textWrapping"/>
            </w:r>
            <w:del w:id="131" w:author="Apple" w:date="2024-07-15T19:33:00Z">
              <w:r>
                <w:rPr>
                  <w:rStyle w:val="408"/>
                  <w:rFonts w:hint="default"/>
                  <w:color w:val="auto"/>
                  <w:sz w:val="21"/>
                  <w:szCs w:val="21"/>
                  <w:highlight w:val="none"/>
                </w:rPr>
                <w:delText>11</w:delText>
              </w:r>
            </w:del>
            <w:ins w:id="132" w:author="Apple" w:date="2024-07-15T19:33:00Z">
              <w:r>
                <w:rPr>
                  <w:rStyle w:val="408"/>
                  <w:rFonts w:hint="default"/>
                  <w:color w:val="auto"/>
                  <w:sz w:val="21"/>
                  <w:szCs w:val="21"/>
                  <w:highlight w:val="none"/>
                </w:rPr>
                <w:t>6</w:t>
              </w:r>
            </w:ins>
            <w:r>
              <w:rPr>
                <w:rStyle w:val="408"/>
                <w:rFonts w:hint="default"/>
                <w:color w:val="auto"/>
                <w:sz w:val="21"/>
                <w:szCs w:val="21"/>
                <w:highlight w:val="none"/>
              </w:rPr>
              <w:t>.话筒面板支持自定义企业LOGO丝印或激光镭射雕刻工艺，支持不小于7cm*7cm，丝网印刷或激光镭射面积；</w:t>
            </w:r>
            <w:del w:id="133" w:author="Apple" w:date="2024-07-15T19:33:00Z">
              <w:r>
                <w:rPr>
                  <w:rStyle w:val="408"/>
                  <w:rFonts w:hint="default"/>
                  <w:color w:val="auto"/>
                  <w:sz w:val="21"/>
                  <w:szCs w:val="21"/>
                  <w:highlight w:val="none"/>
                </w:rPr>
                <w:br w:type="textWrapping"/>
              </w:r>
            </w:del>
            <w:del w:id="134" w:author="Apple" w:date="2024-07-15T19:33:00Z">
              <w:r>
                <w:rPr>
                  <w:rStyle w:val="408"/>
                  <w:rFonts w:hint="default"/>
                  <w:color w:val="auto"/>
                  <w:sz w:val="21"/>
                  <w:szCs w:val="21"/>
                  <w:highlight w:val="none"/>
                </w:rPr>
                <w:delText>12.每个会议单元应具备唯一的ID号，可方便安装并避免ID号重复；</w:delText>
              </w:r>
            </w:del>
            <w:r>
              <w:rPr>
                <w:rStyle w:val="408"/>
                <w:rFonts w:hint="default"/>
                <w:color w:val="auto"/>
                <w:sz w:val="21"/>
                <w:szCs w:val="21"/>
                <w:highlight w:val="none"/>
              </w:rPr>
              <w:br w:type="textWrapping"/>
            </w:r>
            <w:del w:id="135" w:author="Apple" w:date="2024-07-15T19:33:00Z">
              <w:r>
                <w:rPr>
                  <w:rStyle w:val="408"/>
                  <w:rFonts w:hint="default"/>
                  <w:color w:val="auto"/>
                  <w:sz w:val="21"/>
                  <w:szCs w:val="21"/>
                  <w:highlight w:val="none"/>
                </w:rPr>
                <w:delText>13</w:delText>
              </w:r>
            </w:del>
            <w:ins w:id="136" w:author="Apple" w:date="2024-07-15T19:33:00Z">
              <w:r>
                <w:rPr>
                  <w:rStyle w:val="408"/>
                  <w:rFonts w:hint="default"/>
                  <w:color w:val="auto"/>
                  <w:sz w:val="21"/>
                  <w:szCs w:val="21"/>
                  <w:highlight w:val="none"/>
                </w:rPr>
                <w:t>7</w:t>
              </w:r>
            </w:ins>
            <w:r>
              <w:rPr>
                <w:rStyle w:val="408"/>
                <w:rFonts w:hint="default"/>
                <w:color w:val="auto"/>
                <w:sz w:val="21"/>
                <w:szCs w:val="21"/>
                <w:highlight w:val="none"/>
              </w:rPr>
              <w:t>.铝合金机身，阳极氧化工艺，方形话筒杆：≤200mm长咪杆，发言时不会遮挡发言人脸部，最佳拾音距离≥80CM；</w:t>
            </w:r>
            <w:r>
              <w:rPr>
                <w:rStyle w:val="408"/>
                <w:rFonts w:hint="default"/>
                <w:color w:val="auto"/>
                <w:sz w:val="21"/>
                <w:szCs w:val="21"/>
                <w:highlight w:val="none"/>
              </w:rPr>
              <w:br w:type="textWrapping"/>
            </w:r>
            <w:del w:id="137" w:author="Apple" w:date="2024-07-15T19:33:00Z">
              <w:r>
                <w:rPr>
                  <w:rFonts w:hint="eastAsia" w:ascii="宋体" w:hAnsi="宋体" w:cs="宋体"/>
                  <w:color w:val="auto"/>
                  <w:kern w:val="0"/>
                  <w:szCs w:val="21"/>
                  <w:highlight w:val="none"/>
                </w:rPr>
                <w:delText>14</w:delText>
              </w:r>
            </w:del>
            <w:ins w:id="138" w:author="Apple" w:date="2024-07-15T19:33:00Z">
              <w:r>
                <w:rPr>
                  <w:rFonts w:ascii="宋体" w:hAnsi="宋体" w:cs="宋体"/>
                  <w:color w:val="auto"/>
                  <w:kern w:val="0"/>
                  <w:szCs w:val="21"/>
                  <w:highlight w:val="none"/>
                </w:rPr>
                <w:t>8</w:t>
              </w:r>
            </w:ins>
            <w:r>
              <w:rPr>
                <w:rFonts w:hint="eastAsia" w:ascii="宋体" w:hAnsi="宋体" w:cs="宋体"/>
                <w:color w:val="auto"/>
                <w:kern w:val="0"/>
                <w:szCs w:val="21"/>
                <w:highlight w:val="none"/>
              </w:rPr>
              <w:t>.▲话筒单元产品生产厂家应具有外观设计专利证书（需提供证书复印件并加盖厂商公章）。</w:t>
            </w:r>
          </w:p>
        </w:tc>
        <w:tc>
          <w:tcPr>
            <w:tcW w:w="698" w:type="dxa"/>
            <w:shd w:val="clear" w:color="auto" w:fill="FFFFFF"/>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1</w:t>
            </w:r>
          </w:p>
        </w:tc>
        <w:tc>
          <w:tcPr>
            <w:tcW w:w="693" w:type="dxa"/>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50"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4</w:t>
            </w:r>
          </w:p>
        </w:tc>
        <w:tc>
          <w:tcPr>
            <w:tcW w:w="1569" w:type="dxa"/>
            <w:shd w:val="clear" w:color="auto" w:fill="FFFFFF"/>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无线代表单元</w:t>
            </w:r>
          </w:p>
        </w:tc>
        <w:tc>
          <w:tcPr>
            <w:tcW w:w="6241" w:type="dxa"/>
            <w:shd w:val="clear" w:color="auto" w:fill="FFFFFF"/>
            <w:vAlign w:val="center"/>
          </w:tcPr>
          <w:p>
            <w:pPr>
              <w:widowControl/>
              <w:jc w:val="left"/>
              <w:textAlignment w:val="center"/>
              <w:rPr>
                <w:rFonts w:ascii="宋体" w:hAnsi="宋体" w:cs="宋体"/>
                <w:color w:val="auto"/>
                <w:szCs w:val="21"/>
                <w:highlight w:val="none"/>
              </w:rPr>
            </w:pPr>
            <w:ins w:id="139" w:author="Apple" w:date="2024-07-15T19:34:00Z">
              <w:r>
                <w:rPr>
                  <w:rFonts w:hint="eastAsia" w:ascii="宋体" w:hAnsi="宋体" w:cs="宋体"/>
                  <w:color w:val="auto"/>
                  <w:kern w:val="0"/>
                  <w:szCs w:val="21"/>
                  <w:highlight w:val="none"/>
                </w:rPr>
                <w:t>1.▲内置≥14毫米直径镀金电容式收音头（提供具备第三方权威检测机构出具的检测报告复印件并加盖厂商公章）；</w:t>
              </w:r>
            </w:ins>
            <w:ins w:id="140" w:author="Apple" w:date="2024-07-15T19:34:00Z">
              <w:r>
                <w:rPr>
                  <w:rStyle w:val="408"/>
                  <w:rFonts w:hint="default"/>
                  <w:color w:val="auto"/>
                  <w:sz w:val="21"/>
                  <w:szCs w:val="21"/>
                  <w:highlight w:val="none"/>
                </w:rPr>
                <w:br w:type="textWrapping"/>
              </w:r>
            </w:ins>
            <w:ins w:id="141" w:author="Apple" w:date="2024-07-15T19:34:00Z">
              <w:r>
                <w:rPr>
                  <w:rStyle w:val="408"/>
                  <w:rFonts w:hint="default"/>
                  <w:color w:val="auto"/>
                  <w:sz w:val="21"/>
                  <w:szCs w:val="21"/>
                  <w:highlight w:val="none"/>
                </w:rPr>
                <w:t>2.采用UHF数字无线通讯；</w:t>
              </w:r>
            </w:ins>
            <w:ins w:id="142" w:author="Apple" w:date="2024-07-15T19:34:00Z">
              <w:r>
                <w:rPr>
                  <w:rStyle w:val="408"/>
                  <w:rFonts w:hint="default"/>
                  <w:color w:val="auto"/>
                  <w:sz w:val="21"/>
                  <w:szCs w:val="21"/>
                  <w:highlight w:val="none"/>
                </w:rPr>
                <w:br w:type="textWrapping"/>
              </w:r>
            </w:ins>
            <w:ins w:id="143" w:author="Apple" w:date="2024-07-15T19:34:00Z">
              <w:r>
                <w:rPr>
                  <w:rStyle w:val="408"/>
                  <w:rFonts w:hint="default"/>
                  <w:color w:val="auto"/>
                  <w:sz w:val="21"/>
                  <w:szCs w:val="21"/>
                  <w:highlight w:val="none"/>
                </w:rPr>
                <w:t>3.内置聚合物电池，持续发言时间≥48小时；</w:t>
              </w:r>
            </w:ins>
            <w:ins w:id="144" w:author="Apple" w:date="2024-07-15T19:34:00Z">
              <w:r>
                <w:rPr>
                  <w:rStyle w:val="408"/>
                  <w:rFonts w:hint="default"/>
                  <w:color w:val="auto"/>
                  <w:sz w:val="21"/>
                  <w:szCs w:val="21"/>
                  <w:highlight w:val="none"/>
                </w:rPr>
                <w:br w:type="textWrapping"/>
              </w:r>
            </w:ins>
            <w:ins w:id="145" w:author="Apple" w:date="2024-07-15T19:34:00Z">
              <w:r>
                <w:rPr>
                  <w:rStyle w:val="408"/>
                  <w:rFonts w:hint="default"/>
                  <w:color w:val="auto"/>
                  <w:sz w:val="21"/>
                  <w:szCs w:val="21"/>
                  <w:highlight w:val="none"/>
                </w:rPr>
                <w:t>4.信噪比：≥80dB；</w:t>
              </w:r>
            </w:ins>
            <w:ins w:id="146" w:author="Apple" w:date="2024-07-15T19:34:00Z">
              <w:r>
                <w:rPr>
                  <w:rStyle w:val="408"/>
                  <w:rFonts w:hint="default"/>
                  <w:color w:val="auto"/>
                  <w:sz w:val="21"/>
                  <w:szCs w:val="21"/>
                  <w:highlight w:val="none"/>
                </w:rPr>
                <w:br w:type="textWrapping"/>
              </w:r>
            </w:ins>
            <w:ins w:id="147" w:author="Apple" w:date="2024-07-15T19:34:00Z">
              <w:r>
                <w:rPr>
                  <w:rFonts w:ascii="宋体" w:hAnsi="宋体" w:cs="宋体"/>
                  <w:color w:val="auto"/>
                  <w:kern w:val="0"/>
                  <w:szCs w:val="21"/>
                  <w:highlight w:val="none"/>
                </w:rPr>
                <w:t>5</w:t>
              </w:r>
            </w:ins>
            <w:ins w:id="148" w:author="Apple" w:date="2024-07-15T19:34:00Z">
              <w:r>
                <w:rPr>
                  <w:rFonts w:hint="eastAsia" w:ascii="宋体" w:hAnsi="宋体" w:cs="宋体"/>
                  <w:color w:val="auto"/>
                  <w:kern w:val="0"/>
                  <w:szCs w:val="21"/>
                  <w:highlight w:val="none"/>
                </w:rPr>
                <w:t>.▲自定义主席机配置功能，可根据现场需要，临时定义任意单元为主席单元，主席单元无数量限制（提供具备第三方权威检测机构出具的检测报告复印件并加盖厂商公章）；</w:t>
              </w:r>
            </w:ins>
            <w:ins w:id="149" w:author="Apple" w:date="2024-07-15T19:34:00Z">
              <w:r>
                <w:rPr>
                  <w:rStyle w:val="408"/>
                  <w:rFonts w:hint="default"/>
                  <w:color w:val="auto"/>
                  <w:sz w:val="21"/>
                  <w:szCs w:val="21"/>
                  <w:highlight w:val="none"/>
                </w:rPr>
                <w:br w:type="textWrapping"/>
              </w:r>
            </w:ins>
            <w:ins w:id="150" w:author="Apple" w:date="2024-07-15T19:34:00Z">
              <w:r>
                <w:rPr>
                  <w:rStyle w:val="408"/>
                  <w:rFonts w:hint="default"/>
                  <w:color w:val="auto"/>
                  <w:sz w:val="21"/>
                  <w:szCs w:val="21"/>
                  <w:highlight w:val="none"/>
                </w:rPr>
                <w:t>6.话筒面板支持自定义企业LOGO丝印或激光镭射雕刻工艺，支持不小于7cm*7cm，丝网印刷或激光镭射面积；</w:t>
              </w:r>
            </w:ins>
            <w:ins w:id="151" w:author="Apple" w:date="2024-07-15T19:34:00Z">
              <w:r>
                <w:rPr>
                  <w:rStyle w:val="408"/>
                  <w:rFonts w:hint="default"/>
                  <w:color w:val="auto"/>
                  <w:sz w:val="21"/>
                  <w:szCs w:val="21"/>
                  <w:highlight w:val="none"/>
                </w:rPr>
                <w:br w:type="textWrapping"/>
              </w:r>
            </w:ins>
            <w:ins w:id="152" w:author="Apple" w:date="2024-07-15T19:34:00Z">
              <w:r>
                <w:rPr>
                  <w:rStyle w:val="408"/>
                  <w:rFonts w:hint="default"/>
                  <w:color w:val="auto"/>
                  <w:sz w:val="21"/>
                  <w:szCs w:val="21"/>
                  <w:highlight w:val="none"/>
                </w:rPr>
                <w:t>7.铝合金机身，阳极氧化工艺，方形话筒杆：≤200mm长咪杆，发言时不会遮挡发言人脸部，最佳拾音距离≥80CM；</w:t>
              </w:r>
            </w:ins>
            <w:ins w:id="153" w:author="Apple" w:date="2024-07-15T19:34:00Z">
              <w:r>
                <w:rPr>
                  <w:rStyle w:val="408"/>
                  <w:rFonts w:hint="default"/>
                  <w:color w:val="auto"/>
                  <w:sz w:val="21"/>
                  <w:szCs w:val="21"/>
                  <w:highlight w:val="none"/>
                </w:rPr>
                <w:br w:type="textWrapping"/>
              </w:r>
            </w:ins>
            <w:ins w:id="154" w:author="Apple" w:date="2024-07-15T19:34:00Z">
              <w:r>
                <w:rPr>
                  <w:rFonts w:ascii="宋体" w:hAnsi="宋体" w:cs="宋体"/>
                  <w:color w:val="auto"/>
                  <w:kern w:val="0"/>
                  <w:szCs w:val="21"/>
                  <w:highlight w:val="none"/>
                </w:rPr>
                <w:t>8</w:t>
              </w:r>
            </w:ins>
            <w:ins w:id="155" w:author="Apple" w:date="2024-07-15T19:34:00Z">
              <w:r>
                <w:rPr>
                  <w:rFonts w:hint="eastAsia" w:ascii="宋体" w:hAnsi="宋体" w:cs="宋体"/>
                  <w:color w:val="auto"/>
                  <w:kern w:val="0"/>
                  <w:szCs w:val="21"/>
                  <w:highlight w:val="none"/>
                </w:rPr>
                <w:t>.▲话筒单元产品生产厂家应具有外观设计专利证书（需提供证书复印件并加盖厂商公章）。</w:t>
              </w:r>
            </w:ins>
            <w:del w:id="156" w:author="Apple" w:date="2024-07-15T19:34:00Z">
              <w:r>
                <w:rPr>
                  <w:rFonts w:hint="eastAsia" w:ascii="宋体" w:hAnsi="宋体" w:cs="宋体"/>
                  <w:color w:val="auto"/>
                  <w:kern w:val="0"/>
                  <w:szCs w:val="21"/>
                  <w:highlight w:val="none"/>
                </w:rPr>
                <w:delText>1.▲内置≥14毫米直径镀金电容式收音头（提供具备第三方权威检测机构出具的检测报告复印件并加盖厂商公章）；</w:delText>
              </w:r>
            </w:del>
            <w:del w:id="157" w:author="Apple" w:date="2024-07-15T19:34:00Z">
              <w:r>
                <w:rPr>
                  <w:rStyle w:val="408"/>
                  <w:rFonts w:hint="default"/>
                  <w:color w:val="auto"/>
                  <w:sz w:val="21"/>
                  <w:szCs w:val="21"/>
                  <w:highlight w:val="none"/>
                </w:rPr>
                <w:br w:type="textWrapping"/>
              </w:r>
            </w:del>
            <w:del w:id="158" w:author="Apple" w:date="2024-07-15T19:34:00Z">
              <w:r>
                <w:rPr>
                  <w:rStyle w:val="408"/>
                  <w:rFonts w:hint="default"/>
                  <w:color w:val="auto"/>
                  <w:sz w:val="21"/>
                  <w:szCs w:val="21"/>
                  <w:highlight w:val="none"/>
                </w:rPr>
                <w:delText>2.采用UHF数字无线通讯；</w:delText>
              </w:r>
            </w:del>
            <w:del w:id="159" w:author="Apple" w:date="2024-07-15T19:34:00Z">
              <w:r>
                <w:rPr>
                  <w:rStyle w:val="408"/>
                  <w:rFonts w:hint="default"/>
                  <w:color w:val="auto"/>
                  <w:sz w:val="21"/>
                  <w:szCs w:val="21"/>
                  <w:highlight w:val="none"/>
                </w:rPr>
                <w:br w:type="textWrapping"/>
              </w:r>
            </w:del>
            <w:del w:id="160" w:author="Apple" w:date="2024-07-15T19:34:00Z">
              <w:r>
                <w:rPr>
                  <w:rStyle w:val="408"/>
                  <w:rFonts w:hint="default"/>
                  <w:color w:val="auto"/>
                  <w:sz w:val="21"/>
                  <w:szCs w:val="21"/>
                  <w:highlight w:val="none"/>
                </w:rPr>
                <w:delText>3.内置聚合物电池，持续发言时间≥48小时；</w:delText>
              </w:r>
            </w:del>
            <w:del w:id="161" w:author="Apple" w:date="2024-07-15T19:34:00Z">
              <w:r>
                <w:rPr>
                  <w:rStyle w:val="408"/>
                  <w:rFonts w:hint="default"/>
                  <w:color w:val="auto"/>
                  <w:sz w:val="21"/>
                  <w:szCs w:val="21"/>
                  <w:highlight w:val="none"/>
                </w:rPr>
                <w:br w:type="textWrapping"/>
              </w:r>
            </w:del>
            <w:del w:id="162" w:author="Apple" w:date="2024-07-15T19:34:00Z">
              <w:r>
                <w:rPr>
                  <w:rStyle w:val="408"/>
                  <w:rFonts w:hint="default"/>
                  <w:color w:val="auto"/>
                  <w:sz w:val="21"/>
                  <w:szCs w:val="21"/>
                  <w:highlight w:val="none"/>
                </w:rPr>
                <w:delText>4.具备音量调节按钮和电池电量显示功能；</w:delText>
              </w:r>
            </w:del>
            <w:del w:id="163" w:author="Apple" w:date="2024-07-15T19:34:00Z">
              <w:r>
                <w:rPr>
                  <w:rStyle w:val="408"/>
                  <w:rFonts w:hint="default"/>
                  <w:color w:val="auto"/>
                  <w:sz w:val="21"/>
                  <w:szCs w:val="21"/>
                  <w:highlight w:val="none"/>
                </w:rPr>
                <w:br w:type="textWrapping"/>
              </w:r>
            </w:del>
            <w:del w:id="164" w:author="Apple" w:date="2024-07-15T19:34:00Z">
              <w:r>
                <w:rPr>
                  <w:rStyle w:val="408"/>
                  <w:rFonts w:hint="default"/>
                  <w:color w:val="auto"/>
                  <w:sz w:val="21"/>
                  <w:szCs w:val="21"/>
                  <w:highlight w:val="none"/>
                </w:rPr>
                <w:delText>5.信噪比：≥80dB；</w:delText>
              </w:r>
            </w:del>
            <w:del w:id="165" w:author="Apple" w:date="2024-07-15T19:34:00Z">
              <w:r>
                <w:rPr>
                  <w:rStyle w:val="408"/>
                  <w:rFonts w:hint="default"/>
                  <w:color w:val="auto"/>
                  <w:sz w:val="21"/>
                  <w:szCs w:val="21"/>
                  <w:highlight w:val="none"/>
                </w:rPr>
                <w:br w:type="textWrapping"/>
              </w:r>
            </w:del>
            <w:del w:id="166" w:author="Apple" w:date="2024-07-15T19:34:00Z">
              <w:r>
                <w:rPr>
                  <w:rStyle w:val="408"/>
                  <w:rFonts w:hint="default"/>
                  <w:color w:val="auto"/>
                  <w:sz w:val="21"/>
                  <w:szCs w:val="21"/>
                  <w:highlight w:val="none"/>
                </w:rPr>
                <w:delText>6.信道间隔：≥250KHz；</w:delText>
              </w:r>
            </w:del>
            <w:del w:id="167" w:author="Apple" w:date="2024-07-15T19:34:00Z">
              <w:r>
                <w:rPr>
                  <w:rStyle w:val="408"/>
                  <w:rFonts w:hint="default"/>
                  <w:color w:val="auto"/>
                  <w:sz w:val="21"/>
                  <w:szCs w:val="21"/>
                  <w:highlight w:val="none"/>
                </w:rPr>
                <w:br w:type="textWrapping"/>
              </w:r>
            </w:del>
            <w:del w:id="168" w:author="Apple" w:date="2024-07-15T19:34:00Z">
              <w:r>
                <w:rPr>
                  <w:rStyle w:val="408"/>
                  <w:rFonts w:hint="default"/>
                  <w:color w:val="auto"/>
                  <w:sz w:val="21"/>
                  <w:szCs w:val="21"/>
                  <w:highlight w:val="none"/>
                </w:rPr>
                <w:delText>7.灵敏度：≥-28dB；</w:delText>
              </w:r>
            </w:del>
            <w:del w:id="169" w:author="Apple" w:date="2024-07-15T19:34:00Z">
              <w:r>
                <w:rPr>
                  <w:rStyle w:val="408"/>
                  <w:rFonts w:hint="default"/>
                  <w:color w:val="auto"/>
                  <w:sz w:val="21"/>
                  <w:szCs w:val="21"/>
                  <w:highlight w:val="none"/>
                </w:rPr>
                <w:br w:type="textWrapping"/>
              </w:r>
            </w:del>
            <w:del w:id="170" w:author="Apple" w:date="2024-07-15T19:34:00Z">
              <w:r>
                <w:rPr>
                  <w:rStyle w:val="408"/>
                  <w:rFonts w:hint="default"/>
                  <w:color w:val="auto"/>
                  <w:sz w:val="21"/>
                  <w:szCs w:val="21"/>
                  <w:highlight w:val="none"/>
                </w:rPr>
                <w:delText>8.频率响应：≥30Hz-18KHz；</w:delText>
              </w:r>
            </w:del>
            <w:del w:id="171" w:author="Apple" w:date="2024-07-15T19:34:00Z">
              <w:r>
                <w:rPr>
                  <w:rStyle w:val="408"/>
                  <w:rFonts w:hint="default"/>
                  <w:color w:val="auto"/>
                  <w:sz w:val="21"/>
                  <w:szCs w:val="21"/>
                  <w:highlight w:val="none"/>
                </w:rPr>
                <w:br w:type="textWrapping"/>
              </w:r>
            </w:del>
            <w:del w:id="172" w:author="Apple" w:date="2024-07-15T19:34:00Z">
              <w:r>
                <w:rPr>
                  <w:rStyle w:val="408"/>
                  <w:rFonts w:hint="default"/>
                  <w:color w:val="auto"/>
                  <w:sz w:val="21"/>
                  <w:szCs w:val="21"/>
                  <w:highlight w:val="none"/>
                </w:rPr>
                <w:delText>9.最大声压级：≥130dB (THD&lt;3%)；</w:delText>
              </w:r>
            </w:del>
            <w:del w:id="173" w:author="Apple" w:date="2024-07-15T19:34:00Z">
              <w:r>
                <w:rPr>
                  <w:rStyle w:val="408"/>
                  <w:rFonts w:hint="default"/>
                  <w:color w:val="auto"/>
                  <w:sz w:val="21"/>
                  <w:szCs w:val="21"/>
                  <w:highlight w:val="none"/>
                </w:rPr>
                <w:br w:type="textWrapping"/>
              </w:r>
            </w:del>
            <w:del w:id="174" w:author="Apple" w:date="2024-07-15T19:34:00Z">
              <w:r>
                <w:rPr>
                  <w:rFonts w:hint="eastAsia" w:ascii="宋体" w:hAnsi="宋体" w:cs="宋体"/>
                  <w:color w:val="auto"/>
                  <w:kern w:val="0"/>
                  <w:szCs w:val="21"/>
                  <w:highlight w:val="none"/>
                </w:rPr>
                <w:delText>10.▲自定义主席机配置功能，可根据现场需要，临时定义任意单元为主席单元，主席单元无数量限制（提供具备第三方权威检测机构出具的检测报告复印件并加盖厂商公章）；</w:delText>
              </w:r>
            </w:del>
            <w:del w:id="175" w:author="Apple" w:date="2024-07-15T19:34:00Z">
              <w:r>
                <w:rPr>
                  <w:rStyle w:val="408"/>
                  <w:rFonts w:hint="default"/>
                  <w:color w:val="auto"/>
                  <w:sz w:val="21"/>
                  <w:szCs w:val="21"/>
                  <w:highlight w:val="none"/>
                </w:rPr>
                <w:br w:type="textWrapping"/>
              </w:r>
            </w:del>
            <w:del w:id="176" w:author="Apple" w:date="2024-07-15T19:34:00Z">
              <w:r>
                <w:rPr>
                  <w:rStyle w:val="408"/>
                  <w:rFonts w:hint="default"/>
                  <w:color w:val="auto"/>
                  <w:sz w:val="21"/>
                  <w:szCs w:val="21"/>
                  <w:highlight w:val="none"/>
                </w:rPr>
                <w:delText>11.话筒面板支持自定义企业LOGO丝印或激光镭射雕刻工艺，支持不小于7cm*7cm，丝网印刷或激光镭射面积；</w:delText>
              </w:r>
            </w:del>
            <w:del w:id="177" w:author="Apple" w:date="2024-07-15T19:34:00Z">
              <w:r>
                <w:rPr>
                  <w:rStyle w:val="408"/>
                  <w:rFonts w:hint="default"/>
                  <w:color w:val="auto"/>
                  <w:sz w:val="21"/>
                  <w:szCs w:val="21"/>
                  <w:highlight w:val="none"/>
                </w:rPr>
                <w:br w:type="textWrapping"/>
              </w:r>
            </w:del>
            <w:del w:id="178" w:author="Apple" w:date="2024-07-15T19:34:00Z">
              <w:r>
                <w:rPr>
                  <w:rStyle w:val="408"/>
                  <w:rFonts w:hint="default"/>
                  <w:color w:val="auto"/>
                  <w:sz w:val="21"/>
                  <w:szCs w:val="21"/>
                  <w:highlight w:val="none"/>
                </w:rPr>
                <w:delText>12.每个会议单元应具备唯一的ID号，可方便安装并避免ID号重复；</w:delText>
              </w:r>
            </w:del>
            <w:del w:id="179" w:author="Apple" w:date="2024-07-15T19:34:00Z">
              <w:r>
                <w:rPr>
                  <w:rStyle w:val="408"/>
                  <w:rFonts w:hint="default"/>
                  <w:color w:val="auto"/>
                  <w:sz w:val="21"/>
                  <w:szCs w:val="21"/>
                  <w:highlight w:val="none"/>
                </w:rPr>
                <w:br w:type="textWrapping"/>
              </w:r>
            </w:del>
            <w:del w:id="180" w:author="Apple" w:date="2024-07-15T19:34:00Z">
              <w:r>
                <w:rPr>
                  <w:rStyle w:val="408"/>
                  <w:rFonts w:hint="default"/>
                  <w:color w:val="auto"/>
                  <w:sz w:val="21"/>
                  <w:szCs w:val="21"/>
                  <w:highlight w:val="none"/>
                </w:rPr>
                <w:delText>13.铝合金机身，阳极氧化工艺，方形话筒杆：≤200mm长咪杆，发言时不会遮挡发言人脸部，最佳拾音距离≥80CM；</w:delText>
              </w:r>
            </w:del>
            <w:del w:id="181" w:author="Apple" w:date="2024-07-15T19:34:00Z">
              <w:r>
                <w:rPr>
                  <w:rStyle w:val="408"/>
                  <w:rFonts w:hint="default"/>
                  <w:color w:val="auto"/>
                  <w:sz w:val="21"/>
                  <w:szCs w:val="21"/>
                  <w:highlight w:val="none"/>
                </w:rPr>
                <w:br w:type="textWrapping"/>
              </w:r>
            </w:del>
            <w:del w:id="182" w:author="Apple" w:date="2024-07-15T19:34:00Z">
              <w:r>
                <w:rPr>
                  <w:rFonts w:hint="eastAsia" w:ascii="宋体" w:hAnsi="宋体" w:cs="宋体"/>
                  <w:color w:val="auto"/>
                  <w:kern w:val="0"/>
                  <w:szCs w:val="21"/>
                  <w:highlight w:val="none"/>
                </w:rPr>
                <w:delText>14.▲话筒单元产品生产厂家应具有外观设计专利证书（需提供证书复印件并加盖厂商公章）。</w:delText>
              </w:r>
            </w:del>
          </w:p>
        </w:tc>
        <w:tc>
          <w:tcPr>
            <w:tcW w:w="698" w:type="dxa"/>
            <w:shd w:val="clear" w:color="auto" w:fill="FFFFFF"/>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7</w:t>
            </w:r>
          </w:p>
        </w:tc>
        <w:tc>
          <w:tcPr>
            <w:tcW w:w="693" w:type="dxa"/>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650"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5</w:t>
            </w:r>
          </w:p>
        </w:tc>
        <w:tc>
          <w:tcPr>
            <w:tcW w:w="1569" w:type="dxa"/>
            <w:shd w:val="clear" w:color="auto" w:fill="FFFFFF"/>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无线数据收发器</w:t>
            </w:r>
          </w:p>
        </w:tc>
        <w:tc>
          <w:tcPr>
            <w:tcW w:w="6241" w:type="dxa"/>
            <w:shd w:val="clear" w:color="auto" w:fill="FFFFFF"/>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1.采用UHF数字无线通信频段，结合数字会议系统架构；</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2.通信频段：宽于或等于650MHz~700MHz；</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3.≥5组通信频段可选，互不干扰；</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4.天线信号传输距离半径：0-20m左右；</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5.支持吸顶安装形式；</w:t>
            </w:r>
          </w:p>
        </w:tc>
        <w:tc>
          <w:tcPr>
            <w:tcW w:w="698" w:type="dxa"/>
            <w:shd w:val="clear" w:color="auto" w:fill="FFFFFF"/>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1</w:t>
            </w:r>
          </w:p>
        </w:tc>
        <w:tc>
          <w:tcPr>
            <w:tcW w:w="693" w:type="dxa"/>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460" w:type="dxa"/>
            <w:gridSpan w:val="3"/>
            <w:shd w:val="clear" w:color="auto" w:fill="E2EFDA"/>
            <w:noWrap/>
            <w:vAlign w:val="center"/>
          </w:tcPr>
          <w:p>
            <w:pPr>
              <w:widowControl/>
              <w:jc w:val="left"/>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四、平板无纸化系统</w:t>
            </w:r>
          </w:p>
        </w:tc>
        <w:tc>
          <w:tcPr>
            <w:tcW w:w="1391" w:type="dxa"/>
            <w:gridSpan w:val="2"/>
            <w:shd w:val="clear" w:color="auto" w:fill="E2EFDA"/>
            <w:noWrap/>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5" w:hRule="atLeast"/>
          <w:jc w:val="center"/>
        </w:trPr>
        <w:tc>
          <w:tcPr>
            <w:tcW w:w="650"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1</w:t>
            </w:r>
          </w:p>
        </w:tc>
        <w:tc>
          <w:tcPr>
            <w:tcW w:w="1569"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无纸化服务器</w:t>
            </w:r>
          </w:p>
        </w:tc>
        <w:tc>
          <w:tcPr>
            <w:tcW w:w="6241" w:type="dxa"/>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1.支持网络通讯对接协议，与第三方中控对接；</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2.支持不低于I5，16G内存，512G硬盘；</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3.支持不低于一路HDMI信号输入、支持一路HDMI、一路VGA信号输出。支持HDMI2.0输出</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4.支持与会场同步信号跟踪功能，当会场无同步信号时，输出接口输出画面为会议欢迎标语；</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5.不低于2个标准 RJ45 千兆网口接口，支持 110/100/1000Mbpss；</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6.不低于4个USB3.0、4个USB2.0；</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7.不低于2路RS232，支持RS422、RS485模式，最大可拓展6路；</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8.支持不低于1路Line out, 1路MIC_ in、1路Line_ IN；</w:t>
            </w:r>
          </w:p>
        </w:tc>
        <w:tc>
          <w:tcPr>
            <w:tcW w:w="698"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1</w:t>
            </w:r>
          </w:p>
        </w:tc>
        <w:tc>
          <w:tcPr>
            <w:tcW w:w="693"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9" w:hRule="atLeast"/>
          <w:jc w:val="center"/>
        </w:trPr>
        <w:tc>
          <w:tcPr>
            <w:tcW w:w="650"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2</w:t>
            </w:r>
          </w:p>
        </w:tc>
        <w:tc>
          <w:tcPr>
            <w:tcW w:w="1569"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无纸化系统服务软件</w:t>
            </w:r>
          </w:p>
        </w:tc>
        <w:tc>
          <w:tcPr>
            <w:tcW w:w="6241" w:type="dxa"/>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1.▲拥有无纸化软件著作权证书；</w:t>
            </w:r>
            <w:r>
              <w:rPr>
                <w:rStyle w:val="409"/>
                <w:rFonts w:hint="default"/>
                <w:color w:val="auto"/>
                <w:sz w:val="21"/>
                <w:szCs w:val="21"/>
                <w:highlight w:val="none"/>
              </w:rPr>
              <w:br w:type="textWrapping"/>
            </w:r>
            <w:r>
              <w:rPr>
                <w:rStyle w:val="409"/>
                <w:rFonts w:hint="default"/>
                <w:color w:val="auto"/>
                <w:sz w:val="21"/>
                <w:szCs w:val="21"/>
                <w:highlight w:val="none"/>
              </w:rPr>
              <w:t>2.支持跨操作平台组网、无线有线混合组网；</w:t>
            </w:r>
            <w:r>
              <w:rPr>
                <w:rStyle w:val="409"/>
                <w:rFonts w:hint="default"/>
                <w:color w:val="auto"/>
                <w:sz w:val="21"/>
                <w:szCs w:val="21"/>
                <w:highlight w:val="none"/>
              </w:rPr>
              <w:br w:type="textWrapping"/>
            </w:r>
            <w:r>
              <w:rPr>
                <w:rStyle w:val="409"/>
                <w:rFonts w:hint="default"/>
                <w:color w:val="auto"/>
                <w:sz w:val="21"/>
                <w:szCs w:val="21"/>
                <w:highlight w:val="none"/>
              </w:rPr>
              <w:t>3.支持管理、控制、数据交互、服务等功能，支持远程登录web管理；支持对服务器进行统一配置管理，包括会议服务器、流媒体服务器。配置其名称、ID、网络地址、备注等详细信息；</w:t>
            </w:r>
            <w:r>
              <w:rPr>
                <w:rStyle w:val="409"/>
                <w:rFonts w:hint="default"/>
                <w:color w:val="auto"/>
                <w:sz w:val="21"/>
                <w:szCs w:val="21"/>
                <w:highlight w:val="none"/>
              </w:rPr>
              <w:br w:type="textWrapping"/>
            </w:r>
            <w:r>
              <w:rPr>
                <w:rStyle w:val="409"/>
                <w:rFonts w:hint="default"/>
                <w:color w:val="auto"/>
                <w:sz w:val="21"/>
                <w:szCs w:val="21"/>
                <w:highlight w:val="none"/>
              </w:rPr>
              <w:t>4.软件支持三种以上的背屏硬件及通讯方式（TCP为独立IP背屏、USB可拓展无线、扩展为VGA输出）；</w:t>
            </w:r>
            <w:r>
              <w:rPr>
                <w:rStyle w:val="409"/>
                <w:rFonts w:hint="default"/>
                <w:color w:val="auto"/>
                <w:sz w:val="21"/>
                <w:szCs w:val="21"/>
                <w:highlight w:val="none"/>
              </w:rPr>
              <w:br w:type="textWrapping"/>
            </w:r>
            <w:r>
              <w:rPr>
                <w:rStyle w:val="409"/>
                <w:rFonts w:hint="default"/>
                <w:color w:val="auto"/>
                <w:sz w:val="21"/>
                <w:szCs w:val="21"/>
                <w:highlight w:val="none"/>
              </w:rPr>
              <w:t>5.软件对在线离线设备实时监控显示，并通过参数配置对异常设备做故障判断；</w:t>
            </w:r>
            <w:r>
              <w:rPr>
                <w:rStyle w:val="409"/>
                <w:rFonts w:hint="default"/>
                <w:color w:val="auto"/>
                <w:sz w:val="21"/>
                <w:szCs w:val="21"/>
                <w:highlight w:val="none"/>
              </w:rPr>
              <w:br w:type="textWrapping"/>
            </w:r>
            <w:r>
              <w:rPr>
                <w:rStyle w:val="409"/>
                <w:rFonts w:hint="default"/>
                <w:color w:val="auto"/>
                <w:sz w:val="21"/>
                <w:szCs w:val="21"/>
                <w:highlight w:val="none"/>
              </w:rPr>
              <w:t>6.软件具备多种签到模式，如免签、访客、密码、签名、人脸识别（定制版本）；</w:t>
            </w:r>
            <w:r>
              <w:rPr>
                <w:rStyle w:val="409"/>
                <w:rFonts w:hint="default"/>
                <w:color w:val="auto"/>
                <w:sz w:val="21"/>
                <w:szCs w:val="21"/>
                <w:highlight w:val="none"/>
              </w:rPr>
              <w:br w:type="textWrapping"/>
            </w:r>
            <w:r>
              <w:rPr>
                <w:rStyle w:val="409"/>
                <w:rFonts w:hint="default"/>
                <w:color w:val="auto"/>
                <w:sz w:val="21"/>
                <w:szCs w:val="21"/>
                <w:highlight w:val="none"/>
              </w:rPr>
              <w:t>7.支持多个设备可以被多个会议室同步添加，实现主会场、分会场、合并会场场景应用；</w:t>
            </w:r>
            <w:r>
              <w:rPr>
                <w:rStyle w:val="409"/>
                <w:rFonts w:hint="default"/>
                <w:color w:val="auto"/>
                <w:sz w:val="21"/>
                <w:szCs w:val="21"/>
                <w:highlight w:val="none"/>
              </w:rPr>
              <w:br w:type="textWrapping"/>
            </w:r>
            <w:r>
              <w:rPr>
                <w:rStyle w:val="409"/>
                <w:rFonts w:hint="default"/>
                <w:color w:val="auto"/>
                <w:sz w:val="21"/>
                <w:szCs w:val="21"/>
                <w:highlight w:val="none"/>
              </w:rPr>
              <w:t>8.软件支持多会议室的（1对多、多对1、1对1）流媒体投影管理，实现互联互通最后一步；</w:t>
            </w:r>
            <w:r>
              <w:rPr>
                <w:rStyle w:val="409"/>
                <w:rFonts w:hint="default"/>
                <w:color w:val="auto"/>
                <w:sz w:val="21"/>
                <w:szCs w:val="21"/>
                <w:highlight w:val="none"/>
              </w:rPr>
              <w:br w:type="textWrapping"/>
            </w:r>
            <w:del w:id="183" w:author="Apple" w:date="2024-07-15T19:34:00Z">
              <w:r>
                <w:rPr>
                  <w:rStyle w:val="409"/>
                  <w:rFonts w:hint="default"/>
                  <w:color w:val="auto"/>
                  <w:sz w:val="21"/>
                  <w:szCs w:val="21"/>
                  <w:highlight w:val="none"/>
                </w:rPr>
                <w:delText>9.支持参会人员会议模拟排位，在会议室实际可视化图形布局上通过拖拽的方式设置参会人员排位，每个议题都可以设置不同的人员排位；</w:delText>
              </w:r>
            </w:del>
            <w:del w:id="184" w:author="Apple" w:date="2024-07-15T19:34:00Z">
              <w:r>
                <w:rPr>
                  <w:rStyle w:val="409"/>
                  <w:rFonts w:hint="default"/>
                  <w:color w:val="auto"/>
                  <w:sz w:val="21"/>
                  <w:szCs w:val="21"/>
                  <w:highlight w:val="none"/>
                </w:rPr>
                <w:br w:type="textWrapping"/>
              </w:r>
            </w:del>
            <w:del w:id="185" w:author="Apple" w:date="2024-07-15T19:34:00Z">
              <w:r>
                <w:rPr>
                  <w:rStyle w:val="409"/>
                  <w:rFonts w:hint="default"/>
                  <w:color w:val="auto"/>
                  <w:sz w:val="21"/>
                  <w:szCs w:val="21"/>
                  <w:highlight w:val="none"/>
                </w:rPr>
                <w:delText>10.软件电子桌牌支持图片、图片加文字显示，字段对象自定义设计。电子桌牌的底图可以根据要求定制并上传，支持格式JPG，分辨率768*1080；</w:delText>
              </w:r>
            </w:del>
            <w:del w:id="186" w:author="Apple" w:date="2024-07-15T19:34:00Z">
              <w:r>
                <w:rPr>
                  <w:rStyle w:val="409"/>
                  <w:rFonts w:hint="default"/>
                  <w:color w:val="auto"/>
                  <w:sz w:val="21"/>
                  <w:szCs w:val="21"/>
                  <w:highlight w:val="none"/>
                </w:rPr>
                <w:br w:type="textWrapping"/>
              </w:r>
            </w:del>
            <w:del w:id="187" w:author="Apple" w:date="2024-07-15T19:34:00Z">
              <w:r>
                <w:rPr>
                  <w:rStyle w:val="409"/>
                  <w:rFonts w:hint="default"/>
                  <w:color w:val="auto"/>
                  <w:sz w:val="21"/>
                  <w:szCs w:val="21"/>
                  <w:highlight w:val="none"/>
                </w:rPr>
                <w:delText>11.会议议程不少于3种方式，导入议程文件、在线编辑议程、时间轴议程，有效提示会议组织者会议节奏的控制；</w:delText>
              </w:r>
            </w:del>
            <w:del w:id="188" w:author="Apple" w:date="2024-07-15T19:34:00Z">
              <w:r>
                <w:rPr>
                  <w:rStyle w:val="409"/>
                  <w:rFonts w:hint="default"/>
                  <w:color w:val="auto"/>
                  <w:sz w:val="21"/>
                  <w:szCs w:val="21"/>
                  <w:highlight w:val="none"/>
                </w:rPr>
                <w:br w:type="textWrapping"/>
              </w:r>
            </w:del>
            <w:del w:id="189" w:author="Apple" w:date="2024-07-15T19:34:00Z">
              <w:r>
                <w:rPr>
                  <w:rStyle w:val="409"/>
                  <w:rFonts w:hint="default"/>
                  <w:color w:val="auto"/>
                  <w:sz w:val="21"/>
                  <w:szCs w:val="21"/>
                  <w:highlight w:val="none"/>
                </w:rPr>
                <w:delText>12.支持标签技术为多播推送大数据流时，提高效率寻址、标签的提高效率和保证稳定性；</w:delText>
              </w:r>
            </w:del>
            <w:del w:id="190" w:author="Apple" w:date="2024-07-15T19:34:00Z">
              <w:r>
                <w:rPr>
                  <w:rStyle w:val="409"/>
                  <w:rFonts w:hint="default"/>
                  <w:color w:val="auto"/>
                  <w:sz w:val="21"/>
                  <w:szCs w:val="21"/>
                  <w:highlight w:val="none"/>
                </w:rPr>
                <w:br w:type="textWrapping"/>
              </w:r>
            </w:del>
            <w:del w:id="191" w:author="Apple" w:date="2024-07-15T19:34:00Z">
              <w:r>
                <w:rPr>
                  <w:rStyle w:val="409"/>
                  <w:rFonts w:hint="default"/>
                  <w:color w:val="auto"/>
                  <w:sz w:val="21"/>
                  <w:szCs w:val="21"/>
                  <w:highlight w:val="none"/>
                </w:rPr>
                <w:delText>13.控制客户端软件的应用软件模块，不少于8种会议功能，可快速叠加卸载应用。包括：会议功能、会议资料、签到信息、会议议程、批注查看、电子白板、视频直播、互动交流、业务导航；</w:delText>
              </w:r>
            </w:del>
            <w:del w:id="192" w:author="Apple" w:date="2024-07-15T19:34:00Z">
              <w:r>
                <w:rPr>
                  <w:rStyle w:val="409"/>
                  <w:rFonts w:hint="default"/>
                  <w:color w:val="auto"/>
                  <w:sz w:val="21"/>
                  <w:szCs w:val="21"/>
                  <w:highlight w:val="none"/>
                </w:rPr>
                <w:br w:type="textWrapping"/>
              </w:r>
            </w:del>
            <w:del w:id="193" w:author="Apple" w:date="2024-07-15T19:34:00Z">
              <w:r>
                <w:rPr>
                  <w:rStyle w:val="409"/>
                  <w:rFonts w:hint="default"/>
                  <w:color w:val="auto"/>
                  <w:sz w:val="21"/>
                  <w:szCs w:val="21"/>
                  <w:highlight w:val="none"/>
                </w:rPr>
                <w:delText>14.支持一个会议创建多个会议议题，支持每个议题上传关联多个会议资料，会议资料支持常用版本的Office文档类、PDF类、图片类、视频类文件资源，支持会议中每个议题都可以设置不同的参会人员、会议秘书和会议主席，会议终端能够根据设置自动切换参会人员；</w:delText>
              </w:r>
            </w:del>
            <w:del w:id="194" w:author="Apple" w:date="2024-07-15T19:34:00Z">
              <w:r>
                <w:rPr>
                  <w:rStyle w:val="409"/>
                  <w:rFonts w:hint="default"/>
                  <w:color w:val="auto"/>
                  <w:sz w:val="21"/>
                  <w:szCs w:val="21"/>
                  <w:highlight w:val="none"/>
                </w:rPr>
                <w:br w:type="textWrapping"/>
              </w:r>
            </w:del>
            <w:del w:id="195" w:author="Apple" w:date="2024-07-15T19:34:00Z">
              <w:r>
                <w:rPr>
                  <w:rStyle w:val="409"/>
                  <w:rFonts w:hint="default"/>
                  <w:color w:val="auto"/>
                  <w:sz w:val="21"/>
                  <w:szCs w:val="21"/>
                  <w:highlight w:val="none"/>
                </w:rPr>
                <w:delText>15.支持在组织架构中直接添加参会人员，也支持单独添加参会人员时选择所在部门；</w:delText>
              </w:r>
            </w:del>
            <w:del w:id="196" w:author="Apple" w:date="2024-07-15T19:34:00Z">
              <w:r>
                <w:rPr>
                  <w:rStyle w:val="409"/>
                  <w:rFonts w:hint="default"/>
                  <w:color w:val="auto"/>
                  <w:sz w:val="21"/>
                  <w:szCs w:val="21"/>
                  <w:highlight w:val="none"/>
                </w:rPr>
                <w:br w:type="textWrapping"/>
              </w:r>
            </w:del>
            <w:del w:id="197" w:author="Apple" w:date="2024-07-15T19:34:00Z">
              <w:r>
                <w:rPr>
                  <w:rStyle w:val="409"/>
                  <w:rFonts w:hint="default"/>
                  <w:color w:val="auto"/>
                  <w:sz w:val="21"/>
                  <w:szCs w:val="21"/>
                  <w:highlight w:val="none"/>
                </w:rPr>
                <w:delText>16.支持配置多个会议管理员，并且不同的会议管理员创建的会议信息独立保密；</w:delText>
              </w:r>
            </w:del>
            <w:del w:id="198" w:author="Apple" w:date="2024-07-15T19:34:00Z">
              <w:r>
                <w:rPr>
                  <w:rStyle w:val="409"/>
                  <w:rFonts w:hint="default"/>
                  <w:color w:val="auto"/>
                  <w:sz w:val="21"/>
                  <w:szCs w:val="21"/>
                  <w:highlight w:val="none"/>
                </w:rPr>
                <w:br w:type="textWrapping"/>
              </w:r>
            </w:del>
            <w:del w:id="199" w:author="Apple" w:date="2024-07-15T19:34:00Z">
              <w:r>
                <w:rPr>
                  <w:rStyle w:val="409"/>
                  <w:rFonts w:hint="default"/>
                  <w:color w:val="auto"/>
                  <w:sz w:val="21"/>
                  <w:szCs w:val="21"/>
                  <w:highlight w:val="none"/>
                </w:rPr>
                <w:delText>17.支持灵活配置系统用户角色，并设置角色用户在管理系统中的操作功能、操作权限；</w:delText>
              </w:r>
            </w:del>
            <w:del w:id="200" w:author="Apple" w:date="2024-07-15T19:34:00Z">
              <w:r>
                <w:rPr>
                  <w:rStyle w:val="409"/>
                  <w:rFonts w:hint="default"/>
                  <w:color w:val="auto"/>
                  <w:sz w:val="21"/>
                  <w:szCs w:val="21"/>
                  <w:highlight w:val="none"/>
                </w:rPr>
                <w:br w:type="textWrapping"/>
              </w:r>
            </w:del>
            <w:del w:id="201" w:author="Apple" w:date="2024-07-15T19:34:00Z">
              <w:r>
                <w:rPr>
                  <w:rStyle w:val="409"/>
                  <w:rFonts w:hint="default"/>
                  <w:color w:val="auto"/>
                  <w:sz w:val="21"/>
                  <w:szCs w:val="21"/>
                  <w:highlight w:val="none"/>
                </w:rPr>
                <w:delText>18.支持会议终端使用角色的设置，包括参会人员、会议秘书、会议主席；</w:delText>
              </w:r>
            </w:del>
            <w:del w:id="202" w:author="Apple" w:date="2024-07-15T19:34:00Z">
              <w:r>
                <w:rPr>
                  <w:rStyle w:val="409"/>
                  <w:rFonts w:hint="default"/>
                  <w:color w:val="auto"/>
                  <w:sz w:val="21"/>
                  <w:szCs w:val="21"/>
                  <w:highlight w:val="none"/>
                </w:rPr>
                <w:br w:type="textWrapping"/>
              </w:r>
            </w:del>
            <w:del w:id="203" w:author="Apple" w:date="2024-07-15T19:34:00Z">
              <w:r>
                <w:rPr>
                  <w:rStyle w:val="409"/>
                  <w:rFonts w:hint="default"/>
                  <w:color w:val="auto"/>
                  <w:sz w:val="21"/>
                  <w:szCs w:val="21"/>
                  <w:highlight w:val="none"/>
                </w:rPr>
                <w:delText>19.支持通过管理后台对会议室终端管理，支持全部开关机和升降控制，支持分组开关机和升降控制；</w:delText>
              </w:r>
            </w:del>
            <w:del w:id="204" w:author="Apple" w:date="2024-07-15T19:34:00Z">
              <w:r>
                <w:rPr>
                  <w:rStyle w:val="409"/>
                  <w:rFonts w:hint="default"/>
                  <w:color w:val="auto"/>
                  <w:sz w:val="21"/>
                  <w:szCs w:val="21"/>
                  <w:highlight w:val="none"/>
                </w:rPr>
                <w:br w:type="textWrapping"/>
              </w:r>
            </w:del>
            <w:del w:id="205" w:author="Apple" w:date="2024-07-15T19:34:00Z">
              <w:r>
                <w:rPr>
                  <w:rStyle w:val="409"/>
                  <w:rFonts w:hint="default"/>
                  <w:color w:val="auto"/>
                  <w:sz w:val="21"/>
                  <w:szCs w:val="21"/>
                  <w:highlight w:val="none"/>
                </w:rPr>
                <w:delText>20.支持通过管理后台创建投票表决项，支持赞成/反对、分值、优良中差等投票模式；</w:delText>
              </w:r>
            </w:del>
            <w:del w:id="206" w:author="Apple" w:date="2024-07-15T19:34:00Z">
              <w:r>
                <w:rPr>
                  <w:rStyle w:val="409"/>
                  <w:rFonts w:hint="default"/>
                  <w:color w:val="auto"/>
                  <w:sz w:val="21"/>
                  <w:szCs w:val="21"/>
                  <w:highlight w:val="none"/>
                </w:rPr>
                <w:br w:type="textWrapping"/>
              </w:r>
            </w:del>
            <w:del w:id="207" w:author="Apple" w:date="2024-07-15T19:34:00Z">
              <w:r>
                <w:rPr>
                  <w:rStyle w:val="409"/>
                  <w:rFonts w:hint="default"/>
                  <w:color w:val="auto"/>
                  <w:sz w:val="21"/>
                  <w:szCs w:val="21"/>
                  <w:highlight w:val="none"/>
                </w:rPr>
                <w:delText>21.支持视频点播服务，支持添加视频文件，可在管理后台网页预览，支持设置参会人员观看权限，具备权限的参会人员在客户端可自由点播查看。支持视频直播服务，支持添加rtmp/rtsp格式直播流，可在管理后台网页预览，支持设置参会人员观看权限，具备权限的参会人员在客户端可选择查看；</w:delText>
              </w:r>
            </w:del>
            <w:del w:id="208" w:author="Apple" w:date="2024-07-15T19:34:00Z">
              <w:r>
                <w:rPr>
                  <w:rStyle w:val="409"/>
                  <w:rFonts w:hint="default"/>
                  <w:color w:val="auto"/>
                  <w:sz w:val="21"/>
                  <w:szCs w:val="21"/>
                  <w:highlight w:val="none"/>
                </w:rPr>
                <w:br w:type="textWrapping"/>
              </w:r>
            </w:del>
            <w:del w:id="209" w:author="Apple" w:date="2024-07-15T19:34:00Z">
              <w:r>
                <w:rPr>
                  <w:rStyle w:val="409"/>
                  <w:rFonts w:hint="default"/>
                  <w:color w:val="auto"/>
                  <w:sz w:val="21"/>
                  <w:szCs w:val="21"/>
                  <w:highlight w:val="none"/>
                </w:rPr>
                <w:delText>22.支持会议资料整理，会议结束后一键打包会前、会中、会后所有资料，包括签到信息、投票结果、会议纪要、批注资料等；</w:delText>
              </w:r>
            </w:del>
          </w:p>
        </w:tc>
        <w:tc>
          <w:tcPr>
            <w:tcW w:w="698"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1</w:t>
            </w:r>
          </w:p>
        </w:tc>
        <w:tc>
          <w:tcPr>
            <w:tcW w:w="693"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3" w:hRule="atLeast"/>
          <w:jc w:val="center"/>
        </w:trPr>
        <w:tc>
          <w:tcPr>
            <w:tcW w:w="650"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3</w:t>
            </w:r>
          </w:p>
        </w:tc>
        <w:tc>
          <w:tcPr>
            <w:tcW w:w="1569"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无纸化客户端软件</w:t>
            </w:r>
          </w:p>
        </w:tc>
        <w:tc>
          <w:tcPr>
            <w:tcW w:w="6241" w:type="dxa"/>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1.▲拥有无纸化软件著作权证书；</w:t>
            </w:r>
            <w:r>
              <w:rPr>
                <w:rStyle w:val="409"/>
                <w:rFonts w:hint="default"/>
                <w:color w:val="auto"/>
                <w:sz w:val="21"/>
                <w:szCs w:val="21"/>
                <w:highlight w:val="none"/>
              </w:rPr>
              <w:br w:type="textWrapping"/>
            </w:r>
            <w:r>
              <w:rPr>
                <w:rStyle w:val="409"/>
                <w:rFonts w:hint="default"/>
                <w:color w:val="auto"/>
                <w:sz w:val="21"/>
                <w:szCs w:val="21"/>
                <w:highlight w:val="none"/>
              </w:rPr>
              <w:t>2.支持跨操作平台组网、无线有线混合组网；</w:t>
            </w:r>
            <w:r>
              <w:rPr>
                <w:rStyle w:val="409"/>
                <w:rFonts w:hint="default"/>
                <w:color w:val="auto"/>
                <w:sz w:val="21"/>
                <w:szCs w:val="21"/>
                <w:highlight w:val="none"/>
              </w:rPr>
              <w:br w:type="textWrapping"/>
            </w:r>
            <w:r>
              <w:rPr>
                <w:rStyle w:val="409"/>
                <w:rFonts w:hint="default"/>
                <w:color w:val="auto"/>
                <w:sz w:val="21"/>
                <w:szCs w:val="21"/>
                <w:highlight w:val="none"/>
              </w:rPr>
              <w:t>3.支持会议终端的多角色设定，可以灵活指定会议主席、会议秘书席位；</w:t>
            </w:r>
            <w:r>
              <w:rPr>
                <w:rStyle w:val="409"/>
                <w:rFonts w:hint="default"/>
                <w:color w:val="auto"/>
                <w:sz w:val="21"/>
                <w:szCs w:val="21"/>
                <w:highlight w:val="none"/>
              </w:rPr>
              <w:br w:type="textWrapping"/>
            </w:r>
            <w:r>
              <w:rPr>
                <w:rStyle w:val="409"/>
                <w:rFonts w:hint="default"/>
                <w:color w:val="auto"/>
                <w:sz w:val="21"/>
                <w:szCs w:val="21"/>
                <w:highlight w:val="none"/>
              </w:rPr>
              <w:t>4.支持会议前的欢迎界面自动根据会议自定义设置更新显示，显示内容可自定义包括但不限于本次会议主题、本次会议时间；</w:t>
            </w:r>
            <w:r>
              <w:rPr>
                <w:rStyle w:val="409"/>
                <w:rFonts w:hint="default"/>
                <w:color w:val="auto"/>
                <w:sz w:val="21"/>
                <w:szCs w:val="21"/>
                <w:highlight w:val="none"/>
              </w:rPr>
              <w:br w:type="textWrapping"/>
            </w:r>
            <w:r>
              <w:rPr>
                <w:rStyle w:val="409"/>
                <w:rFonts w:hint="default"/>
                <w:color w:val="auto"/>
                <w:sz w:val="21"/>
                <w:szCs w:val="21"/>
                <w:highlight w:val="none"/>
              </w:rPr>
              <w:t>5.支持电子桌牌显示参会人员信息；显示内容可自定义包括但不限于参会人员中英文姓名、职务、单位；</w:t>
            </w:r>
            <w:r>
              <w:rPr>
                <w:rStyle w:val="409"/>
                <w:rFonts w:hint="default"/>
                <w:color w:val="auto"/>
                <w:sz w:val="21"/>
                <w:szCs w:val="21"/>
                <w:highlight w:val="none"/>
              </w:rPr>
              <w:br w:type="textWrapping"/>
            </w:r>
            <w:r>
              <w:rPr>
                <w:rStyle w:val="409"/>
                <w:rFonts w:hint="default"/>
                <w:color w:val="auto"/>
                <w:sz w:val="21"/>
                <w:szCs w:val="21"/>
                <w:highlight w:val="none"/>
              </w:rPr>
              <w:t>6.支持设置信息化签到方式，不少于5种签到方式，会议签到方式通过服务器端进行设置；</w:t>
            </w:r>
            <w:r>
              <w:rPr>
                <w:rStyle w:val="409"/>
                <w:rFonts w:hint="default"/>
                <w:color w:val="auto"/>
                <w:sz w:val="21"/>
                <w:szCs w:val="21"/>
                <w:highlight w:val="none"/>
              </w:rPr>
              <w:br w:type="textWrapping"/>
            </w:r>
            <w:r>
              <w:rPr>
                <w:rStyle w:val="409"/>
                <w:rFonts w:hint="default"/>
                <w:color w:val="auto"/>
                <w:sz w:val="21"/>
                <w:szCs w:val="21"/>
                <w:highlight w:val="none"/>
              </w:rPr>
              <w:t>7.支持通过会议议题分组查看会议资料，支持常用版本的Word、PPT、PDF、Excel、图片、视频等会议资料的查阅；</w:t>
            </w:r>
            <w:r>
              <w:rPr>
                <w:rStyle w:val="409"/>
                <w:rFonts w:hint="default"/>
                <w:color w:val="auto"/>
                <w:sz w:val="21"/>
                <w:szCs w:val="21"/>
                <w:highlight w:val="none"/>
              </w:rPr>
              <w:br w:type="textWrapping"/>
            </w:r>
            <w:r>
              <w:rPr>
                <w:rStyle w:val="409"/>
                <w:rFonts w:hint="default"/>
                <w:color w:val="auto"/>
                <w:sz w:val="21"/>
                <w:szCs w:val="21"/>
                <w:highlight w:val="none"/>
              </w:rPr>
              <w:t>8.支持会议资料查阅的过程中进行批注、标记功能，批注内容自动保存；</w:t>
            </w:r>
            <w:del w:id="210" w:author="Apple" w:date="2024-07-15T19:34:00Z">
              <w:r>
                <w:rPr>
                  <w:rStyle w:val="409"/>
                  <w:rFonts w:hint="default"/>
                  <w:color w:val="auto"/>
                  <w:sz w:val="21"/>
                  <w:szCs w:val="21"/>
                  <w:highlight w:val="none"/>
                </w:rPr>
                <w:br w:type="textWrapping"/>
              </w:r>
            </w:del>
            <w:del w:id="211" w:author="Apple" w:date="2024-07-15T19:34:00Z">
              <w:r>
                <w:rPr>
                  <w:rStyle w:val="409"/>
                  <w:rFonts w:hint="default"/>
                  <w:color w:val="auto"/>
                  <w:sz w:val="21"/>
                  <w:szCs w:val="21"/>
                  <w:highlight w:val="none"/>
                </w:rPr>
                <w:delText>9.支持参会人员同屏申请指定无纸化终端跟随自己的屏幕查看会议资料，同屏支持普通跟随和强制跟随；</w:delText>
              </w:r>
            </w:del>
            <w:del w:id="212" w:author="Apple" w:date="2024-07-15T19:34:00Z">
              <w:r>
                <w:rPr>
                  <w:rStyle w:val="409"/>
                  <w:rFonts w:hint="default"/>
                  <w:color w:val="auto"/>
                  <w:sz w:val="21"/>
                  <w:szCs w:val="21"/>
                  <w:highlight w:val="none"/>
                </w:rPr>
                <w:br w:type="textWrapping"/>
              </w:r>
            </w:del>
            <w:del w:id="213" w:author="Apple" w:date="2024-07-15T19:34:00Z">
              <w:r>
                <w:rPr>
                  <w:rStyle w:val="409"/>
                  <w:rFonts w:hint="default"/>
                  <w:color w:val="auto"/>
                  <w:sz w:val="21"/>
                  <w:szCs w:val="21"/>
                  <w:highlight w:val="none"/>
                </w:rPr>
                <w:delText>10.异地开会会后签字，打开签字功能直接在文件上签字；</w:delText>
              </w:r>
            </w:del>
            <w:del w:id="214" w:author="Apple" w:date="2024-07-15T19:34:00Z">
              <w:r>
                <w:rPr>
                  <w:rStyle w:val="409"/>
                  <w:rFonts w:hint="default"/>
                  <w:color w:val="auto"/>
                  <w:sz w:val="21"/>
                  <w:szCs w:val="21"/>
                  <w:highlight w:val="none"/>
                </w:rPr>
                <w:br w:type="textWrapping"/>
              </w:r>
            </w:del>
            <w:del w:id="215" w:author="Apple" w:date="2024-07-15T19:34:00Z">
              <w:r>
                <w:rPr>
                  <w:rStyle w:val="409"/>
                  <w:rFonts w:hint="default"/>
                  <w:color w:val="auto"/>
                  <w:sz w:val="21"/>
                  <w:szCs w:val="21"/>
                  <w:highlight w:val="none"/>
                </w:rPr>
                <w:delText>11.支持参会人员屏幕投放大屏幕显示，大屏幕支持全屏、四分屏的模式；</w:delText>
              </w:r>
            </w:del>
            <w:del w:id="216" w:author="Apple" w:date="2024-07-15T19:34:00Z">
              <w:r>
                <w:rPr>
                  <w:rStyle w:val="409"/>
                  <w:rFonts w:hint="default"/>
                  <w:color w:val="auto"/>
                  <w:sz w:val="21"/>
                  <w:szCs w:val="21"/>
                  <w:highlight w:val="none"/>
                </w:rPr>
                <w:br w:type="textWrapping"/>
              </w:r>
            </w:del>
            <w:del w:id="217" w:author="Apple" w:date="2024-07-15T19:34:00Z">
              <w:r>
                <w:rPr>
                  <w:rStyle w:val="409"/>
                  <w:rFonts w:hint="default"/>
                  <w:color w:val="auto"/>
                  <w:sz w:val="21"/>
                  <w:szCs w:val="21"/>
                  <w:highlight w:val="none"/>
                </w:rPr>
                <w:delText>12.电子白板可以自定义参会人员同屏交互，实现分组讨论；</w:delText>
              </w:r>
            </w:del>
            <w:del w:id="218" w:author="Apple" w:date="2024-07-15T19:34:00Z">
              <w:r>
                <w:rPr>
                  <w:rStyle w:val="409"/>
                  <w:rFonts w:hint="default"/>
                  <w:color w:val="auto"/>
                  <w:sz w:val="21"/>
                  <w:szCs w:val="21"/>
                  <w:highlight w:val="none"/>
                </w:rPr>
                <w:br w:type="textWrapping"/>
              </w:r>
            </w:del>
            <w:del w:id="219" w:author="Apple" w:date="2024-07-15T19:34:00Z">
              <w:r>
                <w:rPr>
                  <w:rStyle w:val="409"/>
                  <w:rFonts w:hint="default"/>
                  <w:color w:val="auto"/>
                  <w:sz w:val="21"/>
                  <w:szCs w:val="21"/>
                  <w:highlight w:val="none"/>
                </w:rPr>
                <w:delText>13.支持会议交流，参会人员可一对一或者一对多互发消息进行交流；</w:delText>
              </w:r>
            </w:del>
            <w:del w:id="220" w:author="Apple" w:date="2024-07-15T19:34:00Z">
              <w:r>
                <w:rPr>
                  <w:rStyle w:val="409"/>
                  <w:rFonts w:hint="default"/>
                  <w:color w:val="auto"/>
                  <w:sz w:val="21"/>
                  <w:szCs w:val="21"/>
                  <w:highlight w:val="none"/>
                </w:rPr>
                <w:br w:type="textWrapping"/>
              </w:r>
            </w:del>
            <w:del w:id="221" w:author="Apple" w:date="2024-07-15T19:34:00Z">
              <w:r>
                <w:rPr>
                  <w:rStyle w:val="409"/>
                  <w:rFonts w:hint="default"/>
                  <w:color w:val="auto"/>
                  <w:sz w:val="21"/>
                  <w:szCs w:val="21"/>
                  <w:highlight w:val="none"/>
                </w:rPr>
                <w:delText>14.支持会中对会议交流的控制功能，会中可随时禁止交流、启用交流；</w:delText>
              </w:r>
            </w:del>
            <w:del w:id="222" w:author="Apple" w:date="2024-07-15T19:34:00Z">
              <w:r>
                <w:rPr>
                  <w:rStyle w:val="409"/>
                  <w:rFonts w:hint="default"/>
                  <w:color w:val="auto"/>
                  <w:sz w:val="21"/>
                  <w:szCs w:val="21"/>
                  <w:highlight w:val="none"/>
                </w:rPr>
                <w:br w:type="textWrapping"/>
              </w:r>
            </w:del>
            <w:del w:id="223" w:author="Apple" w:date="2024-07-15T19:34:00Z">
              <w:r>
                <w:rPr>
                  <w:rStyle w:val="409"/>
                  <w:rFonts w:hint="default"/>
                  <w:color w:val="auto"/>
                  <w:sz w:val="21"/>
                  <w:szCs w:val="21"/>
                  <w:highlight w:val="none"/>
                </w:rPr>
                <w:delText>15.支持启动已经创建好的投票表决项，也可以临时创建投票表决；支持实名、匿名两种表决方式，支持投票表决结果实时统计，会议主席和秘书可以选择是否公布表决结果；</w:delText>
              </w:r>
            </w:del>
            <w:del w:id="224" w:author="Apple" w:date="2024-07-15T19:34:00Z">
              <w:r>
                <w:rPr>
                  <w:rStyle w:val="409"/>
                  <w:rFonts w:hint="default"/>
                  <w:color w:val="auto"/>
                  <w:sz w:val="21"/>
                  <w:szCs w:val="21"/>
                  <w:highlight w:val="none"/>
                </w:rPr>
                <w:br w:type="textWrapping"/>
              </w:r>
            </w:del>
            <w:del w:id="225" w:author="Apple" w:date="2024-07-15T19:34:00Z">
              <w:r>
                <w:rPr>
                  <w:rStyle w:val="409"/>
                  <w:rFonts w:hint="default"/>
                  <w:color w:val="auto"/>
                  <w:sz w:val="21"/>
                  <w:szCs w:val="21"/>
                  <w:highlight w:val="none"/>
                </w:rPr>
                <w:delText>16.支持多路外部信号接入，能够预览外部信号图像和全屏显示，外部信号支持同屏和投屏；</w:delText>
              </w:r>
            </w:del>
            <w:del w:id="226" w:author="Apple" w:date="2024-07-15T19:34:00Z">
              <w:r>
                <w:rPr>
                  <w:rStyle w:val="409"/>
                  <w:rFonts w:hint="default"/>
                  <w:color w:val="auto"/>
                  <w:sz w:val="21"/>
                  <w:szCs w:val="21"/>
                  <w:highlight w:val="none"/>
                </w:rPr>
                <w:br w:type="textWrapping"/>
              </w:r>
            </w:del>
            <w:del w:id="227" w:author="Apple" w:date="2024-07-15T19:34:00Z">
              <w:r>
                <w:rPr>
                  <w:rStyle w:val="409"/>
                  <w:rFonts w:hint="default"/>
                  <w:color w:val="auto"/>
                  <w:sz w:val="21"/>
                  <w:szCs w:val="21"/>
                  <w:highlight w:val="none"/>
                </w:rPr>
                <w:delText>17.支持U盘支持断点续传及自动弹窗事件触发功能，快速稳定浏览文件；</w:delText>
              </w:r>
            </w:del>
          </w:p>
        </w:tc>
        <w:tc>
          <w:tcPr>
            <w:tcW w:w="698"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14</w:t>
            </w:r>
          </w:p>
        </w:tc>
        <w:tc>
          <w:tcPr>
            <w:tcW w:w="693"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50"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4</w:t>
            </w:r>
          </w:p>
        </w:tc>
        <w:tc>
          <w:tcPr>
            <w:tcW w:w="1569"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无纸化客户端平板</w:t>
            </w:r>
          </w:p>
        </w:tc>
        <w:tc>
          <w:tcPr>
            <w:tcW w:w="6241" w:type="dxa"/>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11.5寸，8G+256G，要求华为同档次产品</w:t>
            </w:r>
          </w:p>
        </w:tc>
        <w:tc>
          <w:tcPr>
            <w:tcW w:w="698"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14</w:t>
            </w:r>
          </w:p>
        </w:tc>
        <w:tc>
          <w:tcPr>
            <w:tcW w:w="693"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0" w:hRule="atLeast"/>
          <w:jc w:val="center"/>
        </w:trPr>
        <w:tc>
          <w:tcPr>
            <w:tcW w:w="650"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5</w:t>
            </w:r>
          </w:p>
        </w:tc>
        <w:tc>
          <w:tcPr>
            <w:tcW w:w="1569"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投屏一体化终端</w:t>
            </w:r>
          </w:p>
        </w:tc>
        <w:tc>
          <w:tcPr>
            <w:tcW w:w="6241" w:type="dxa"/>
            <w:shd w:val="clear" w:color="auto" w:fill="auto"/>
            <w:vAlign w:val="center"/>
          </w:tcPr>
          <w:p>
            <w:pPr>
              <w:widowControl/>
              <w:jc w:val="left"/>
              <w:textAlignment w:val="center"/>
              <w:rPr>
                <w:rFonts w:ascii="宋体" w:hAnsi="宋体" w:cs="宋体"/>
                <w:color w:val="auto"/>
                <w:szCs w:val="21"/>
                <w:highlight w:val="none"/>
              </w:rPr>
            </w:pPr>
            <w:r>
              <w:rPr>
                <w:rStyle w:val="409"/>
                <w:rFonts w:hint="default"/>
                <w:color w:val="auto"/>
                <w:sz w:val="21"/>
                <w:szCs w:val="21"/>
                <w:highlight w:val="none"/>
              </w:rPr>
              <w:t>1.支持多会议室拆分组合应用；</w:t>
            </w:r>
            <w:r>
              <w:rPr>
                <w:rStyle w:val="409"/>
                <w:rFonts w:hint="default"/>
                <w:color w:val="auto"/>
                <w:sz w:val="21"/>
                <w:szCs w:val="21"/>
                <w:highlight w:val="none"/>
              </w:rPr>
              <w:br w:type="textWrapping"/>
            </w:r>
            <w:r>
              <w:rPr>
                <w:rStyle w:val="409"/>
                <w:rFonts w:hint="default"/>
                <w:color w:val="auto"/>
                <w:sz w:val="21"/>
                <w:szCs w:val="21"/>
                <w:highlight w:val="none"/>
              </w:rPr>
              <w:t>2.配置不低于i5、8G内存、128G固态硬盘；</w:t>
            </w:r>
            <w:r>
              <w:rPr>
                <w:rStyle w:val="409"/>
                <w:rFonts w:hint="default"/>
                <w:color w:val="auto"/>
                <w:sz w:val="21"/>
                <w:szCs w:val="21"/>
                <w:highlight w:val="none"/>
              </w:rPr>
              <w:br w:type="textWrapping"/>
            </w:r>
            <w:r>
              <w:rPr>
                <w:rStyle w:val="409"/>
                <w:rFonts w:hint="default"/>
                <w:color w:val="auto"/>
                <w:sz w:val="21"/>
                <w:szCs w:val="21"/>
                <w:highlight w:val="none"/>
              </w:rPr>
              <w:t>3.支持HDMI最大分辨率为4096X2160@60Hz，将会场终端信号、会议标语投屏广播显示，支持将投票结果和签到结果投屏广播显示，与会场同步信号跟踪功能，当会场无同步信号时，输出接口输出画面为会议欢迎标语，会议欢迎标语背景颜色与字体字号可根据会议要求自行设置，满足会场的实际需求，避免大屏幕或投影机待机状态或无信号输入状态；</w:t>
            </w:r>
            <w:r>
              <w:rPr>
                <w:rStyle w:val="409"/>
                <w:rFonts w:hint="default"/>
                <w:color w:val="auto"/>
                <w:sz w:val="21"/>
                <w:szCs w:val="21"/>
                <w:highlight w:val="none"/>
              </w:rPr>
              <w:br w:type="textWrapping"/>
            </w:r>
            <w:r>
              <w:rPr>
                <w:rStyle w:val="409"/>
                <w:rFonts w:hint="default"/>
                <w:color w:val="auto"/>
                <w:sz w:val="21"/>
                <w:szCs w:val="21"/>
                <w:highlight w:val="none"/>
              </w:rPr>
              <w:t>4.支持信号格式自动转换功能，网络数据信号转换成数字信号，数字信号自动转换成网络信号传输。系统提供外部音视频信号和内部音视频信号互联互通的流媒体平台；</w:t>
            </w:r>
            <w:r>
              <w:rPr>
                <w:rStyle w:val="409"/>
                <w:rFonts w:hint="default"/>
                <w:color w:val="auto"/>
                <w:sz w:val="21"/>
                <w:szCs w:val="21"/>
                <w:highlight w:val="none"/>
              </w:rPr>
              <w:br w:type="textWrapping"/>
            </w:r>
            <w:r>
              <w:rPr>
                <w:rStyle w:val="408"/>
                <w:rFonts w:hint="default"/>
                <w:color w:val="auto"/>
                <w:sz w:val="21"/>
                <w:szCs w:val="21"/>
                <w:highlight w:val="none"/>
              </w:rPr>
              <w:t>5.支持将4组不同的无纸化系统屏幕广播画面以4分屏画面投屏输出显示；</w:t>
            </w:r>
            <w:r>
              <w:rPr>
                <w:rStyle w:val="409"/>
                <w:rFonts w:hint="default"/>
                <w:color w:val="auto"/>
                <w:sz w:val="21"/>
                <w:szCs w:val="21"/>
                <w:highlight w:val="none"/>
              </w:rPr>
              <w:br w:type="textWrapping"/>
            </w:r>
            <w:r>
              <w:rPr>
                <w:rStyle w:val="409"/>
                <w:rFonts w:hint="default"/>
                <w:color w:val="auto"/>
                <w:sz w:val="21"/>
                <w:szCs w:val="21"/>
                <w:highlight w:val="none"/>
              </w:rPr>
              <w:t>6.支持第三方录制软件使用，可以适用于各种直播场景；</w:t>
            </w:r>
            <w:r>
              <w:rPr>
                <w:rStyle w:val="409"/>
                <w:rFonts w:hint="default"/>
                <w:color w:val="auto"/>
                <w:sz w:val="21"/>
                <w:szCs w:val="21"/>
                <w:highlight w:val="none"/>
              </w:rPr>
              <w:br w:type="textWrapping"/>
            </w:r>
            <w:del w:id="228" w:author="Apple" w:date="2024-07-15T19:36:00Z">
              <w:r>
                <w:rPr>
                  <w:rStyle w:val="409"/>
                  <w:rFonts w:hint="default"/>
                  <w:color w:val="auto"/>
                  <w:sz w:val="21"/>
                  <w:szCs w:val="21"/>
                  <w:highlight w:val="none"/>
                </w:rPr>
                <w:delText>7.支持软件直接调取采集卡驱动，可以实现预览、抓图、共享等功能；</w:delText>
              </w:r>
            </w:del>
            <w:del w:id="229" w:author="Apple" w:date="2024-07-15T19:36:00Z">
              <w:r>
                <w:rPr>
                  <w:rStyle w:val="409"/>
                  <w:rFonts w:hint="default"/>
                  <w:color w:val="auto"/>
                  <w:sz w:val="21"/>
                  <w:szCs w:val="21"/>
                  <w:highlight w:val="none"/>
                </w:rPr>
                <w:br w:type="textWrapping"/>
              </w:r>
            </w:del>
            <w:del w:id="230" w:author="Apple" w:date="2024-07-15T19:36:00Z">
              <w:r>
                <w:rPr>
                  <w:rStyle w:val="409"/>
                  <w:rFonts w:hint="default"/>
                  <w:color w:val="auto"/>
                  <w:sz w:val="21"/>
                  <w:szCs w:val="21"/>
                  <w:highlight w:val="none"/>
                </w:rPr>
                <w:delText>8.具有录音USB接口，可录制和输出现场音频信号；</w:delText>
              </w:r>
            </w:del>
            <w:del w:id="231" w:author="Apple" w:date="2024-07-15T19:36:00Z">
              <w:r>
                <w:rPr>
                  <w:rStyle w:val="409"/>
                  <w:rFonts w:hint="default"/>
                  <w:color w:val="auto"/>
                  <w:sz w:val="21"/>
                  <w:szCs w:val="21"/>
                  <w:highlight w:val="none"/>
                </w:rPr>
                <w:br w:type="textWrapping"/>
              </w:r>
            </w:del>
            <w:del w:id="232" w:author="Apple" w:date="2024-07-15T19:36:00Z">
              <w:r>
                <w:rPr>
                  <w:rStyle w:val="409"/>
                  <w:rFonts w:hint="default"/>
                  <w:color w:val="auto"/>
                  <w:sz w:val="21"/>
                  <w:szCs w:val="21"/>
                  <w:highlight w:val="none"/>
                </w:rPr>
                <w:delText>9</w:delText>
              </w:r>
            </w:del>
            <w:ins w:id="233" w:author="Apple" w:date="2024-07-15T19:36:00Z">
              <w:r>
                <w:rPr>
                  <w:rStyle w:val="409"/>
                  <w:rFonts w:hint="default"/>
                  <w:color w:val="auto"/>
                  <w:sz w:val="21"/>
                  <w:szCs w:val="21"/>
                  <w:highlight w:val="none"/>
                </w:rPr>
                <w:t>7</w:t>
              </w:r>
            </w:ins>
            <w:r>
              <w:rPr>
                <w:rStyle w:val="409"/>
                <w:rFonts w:hint="default"/>
                <w:color w:val="auto"/>
                <w:sz w:val="21"/>
                <w:szCs w:val="21"/>
                <w:highlight w:val="none"/>
              </w:rPr>
              <w:t>.具备≥1路HDMI视频、≥1路VGA视频输出接口、≥1路3.5mm音频输入接口和≥1路3.5mm音频输出接口，实现音视频同步输入输出；具备≥4个串口、≥6个USB接口、≥2个SATA3.0、≥SATA2.0；</w:t>
            </w:r>
          </w:p>
        </w:tc>
        <w:tc>
          <w:tcPr>
            <w:tcW w:w="698"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1</w:t>
            </w:r>
          </w:p>
        </w:tc>
        <w:tc>
          <w:tcPr>
            <w:tcW w:w="693"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jc w:val="center"/>
        </w:trPr>
        <w:tc>
          <w:tcPr>
            <w:tcW w:w="650"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6</w:t>
            </w:r>
          </w:p>
        </w:tc>
        <w:tc>
          <w:tcPr>
            <w:tcW w:w="1569"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会务服务软件</w:t>
            </w:r>
          </w:p>
        </w:tc>
        <w:tc>
          <w:tcPr>
            <w:tcW w:w="6241" w:type="dxa"/>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1.▲拥有无纸化软件著作权证书；</w:t>
            </w:r>
            <w:r>
              <w:rPr>
                <w:rStyle w:val="409"/>
                <w:rFonts w:hint="default"/>
                <w:color w:val="auto"/>
                <w:sz w:val="21"/>
                <w:szCs w:val="21"/>
                <w:highlight w:val="none"/>
              </w:rPr>
              <w:br w:type="textWrapping"/>
            </w:r>
            <w:r>
              <w:rPr>
                <w:rStyle w:val="409"/>
                <w:rFonts w:hint="default"/>
                <w:color w:val="auto"/>
                <w:sz w:val="21"/>
                <w:szCs w:val="21"/>
                <w:highlight w:val="none"/>
              </w:rPr>
              <w:t>2.支持跨操作平台组网、无线有线混合组网；</w:t>
            </w:r>
            <w:r>
              <w:rPr>
                <w:rStyle w:val="409"/>
                <w:rFonts w:hint="default"/>
                <w:color w:val="auto"/>
                <w:sz w:val="21"/>
                <w:szCs w:val="21"/>
                <w:highlight w:val="none"/>
              </w:rPr>
              <w:br w:type="textWrapping"/>
            </w:r>
            <w:r>
              <w:rPr>
                <w:rStyle w:val="409"/>
                <w:rFonts w:hint="default"/>
                <w:color w:val="auto"/>
                <w:sz w:val="21"/>
                <w:szCs w:val="21"/>
                <w:highlight w:val="none"/>
              </w:rPr>
              <w:t>3.支持数据信息双备份机制，数据本地服务器同步存储、服务器数据库核对后执行存储数据归档入库，映射触发事件建表后，对比本地存储数据与数据库主从信息表是否一致，保证终端断网、断电会议资料不会丢失；</w:t>
            </w:r>
            <w:r>
              <w:rPr>
                <w:rStyle w:val="409"/>
                <w:rFonts w:hint="default"/>
                <w:color w:val="auto"/>
                <w:sz w:val="21"/>
                <w:szCs w:val="21"/>
                <w:highlight w:val="none"/>
              </w:rPr>
              <w:br w:type="textWrapping"/>
            </w:r>
            <w:r>
              <w:rPr>
                <w:rStyle w:val="409"/>
                <w:rFonts w:hint="default"/>
                <w:color w:val="auto"/>
                <w:sz w:val="21"/>
                <w:szCs w:val="21"/>
                <w:highlight w:val="none"/>
              </w:rPr>
              <w:t>4.支持参会人员的服务功能，会议服务人员响应参会人的茶、水、纸笔、卫生清理、自定义服务等。</w:t>
            </w:r>
            <w:r>
              <w:rPr>
                <w:rStyle w:val="409"/>
                <w:rFonts w:hint="default"/>
                <w:color w:val="auto"/>
                <w:sz w:val="21"/>
                <w:szCs w:val="21"/>
                <w:highlight w:val="none"/>
              </w:rPr>
              <w:br w:type="textWrapping"/>
            </w:r>
            <w:r>
              <w:rPr>
                <w:rStyle w:val="409"/>
                <w:rFonts w:hint="default"/>
                <w:color w:val="auto"/>
                <w:sz w:val="21"/>
                <w:szCs w:val="21"/>
                <w:highlight w:val="none"/>
              </w:rPr>
              <w:t>5.支持通过网络发送服务请求，会议服务人员可以快速定位参会人员位置、需求，从而快速提供服务，不影响会议的正常进行。</w:t>
            </w:r>
            <w:r>
              <w:rPr>
                <w:rStyle w:val="409"/>
                <w:rFonts w:hint="default"/>
                <w:color w:val="auto"/>
                <w:sz w:val="21"/>
                <w:szCs w:val="21"/>
                <w:highlight w:val="none"/>
              </w:rPr>
              <w:br w:type="textWrapping"/>
            </w:r>
            <w:r>
              <w:rPr>
                <w:rStyle w:val="409"/>
                <w:rFonts w:hint="default"/>
                <w:color w:val="auto"/>
                <w:sz w:val="21"/>
                <w:szCs w:val="21"/>
                <w:highlight w:val="none"/>
              </w:rPr>
              <w:t>6.实时显示会议室呼叫服务信息，包括会议室信息，呼叫人名，呼叫内容，服务人员需手动消除服务；</w:t>
            </w:r>
            <w:r>
              <w:rPr>
                <w:rStyle w:val="409"/>
                <w:rFonts w:hint="default"/>
                <w:color w:val="auto"/>
                <w:sz w:val="21"/>
                <w:szCs w:val="21"/>
                <w:highlight w:val="none"/>
              </w:rPr>
              <w:br w:type="textWrapping"/>
            </w:r>
            <w:r>
              <w:rPr>
                <w:rStyle w:val="409"/>
                <w:rFonts w:hint="default"/>
                <w:color w:val="auto"/>
                <w:sz w:val="21"/>
                <w:szCs w:val="21"/>
                <w:highlight w:val="none"/>
              </w:rPr>
              <w:t>7.会务人员处理完后可以通过服务记录查询；</w:t>
            </w:r>
          </w:p>
        </w:tc>
        <w:tc>
          <w:tcPr>
            <w:tcW w:w="698"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1</w:t>
            </w:r>
          </w:p>
        </w:tc>
        <w:tc>
          <w:tcPr>
            <w:tcW w:w="693"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8460" w:type="dxa"/>
            <w:gridSpan w:val="3"/>
            <w:shd w:val="clear" w:color="auto" w:fill="E2EFDA"/>
            <w:noWrap/>
            <w:vAlign w:val="center"/>
          </w:tcPr>
          <w:p>
            <w:pPr>
              <w:widowControl/>
              <w:snapToGrid w:val="0"/>
              <w:textAlignment w:val="center"/>
              <w:rPr>
                <w:rFonts w:ascii="宋体" w:hAnsi="宋体" w:cs="宋体"/>
                <w:b/>
                <w:bCs/>
                <w:color w:val="auto"/>
                <w:szCs w:val="21"/>
                <w:highlight w:val="none"/>
              </w:rPr>
            </w:pPr>
            <w:r>
              <w:rPr>
                <w:rFonts w:hint="eastAsia" w:ascii="宋体" w:hAnsi="宋体" w:cs="宋体"/>
                <w:b/>
                <w:bCs/>
                <w:color w:val="auto"/>
                <w:kern w:val="0"/>
                <w:szCs w:val="21"/>
                <w:highlight w:val="none"/>
                <w:bdr w:val="single" w:color="000000" w:sz="4" w:space="0"/>
                <w:shd w:val="clear" w:color="auto" w:fill="E2EFDA"/>
              </w:rPr>
              <w:drawing>
                <wp:anchor distT="0" distB="0" distL="0" distR="0" simplePos="0" relativeHeight="251659264" behindDoc="0" locked="0" layoutInCell="1" allowOverlap="1">
                  <wp:simplePos x="0" y="0"/>
                  <wp:positionH relativeFrom="column">
                    <wp:posOffset>1734820</wp:posOffset>
                  </wp:positionH>
                  <wp:positionV relativeFrom="paragraph">
                    <wp:posOffset>0</wp:posOffset>
                  </wp:positionV>
                  <wp:extent cx="685800" cy="4445"/>
                  <wp:effectExtent l="0" t="0" r="0" b="0"/>
                  <wp:wrapNone/>
                  <wp:docPr id="1026" name="图片_3"/>
                  <wp:cNvGraphicFramePr/>
                  <a:graphic xmlns:a="http://schemas.openxmlformats.org/drawingml/2006/main">
                    <a:graphicData uri="http://schemas.openxmlformats.org/drawingml/2006/picture">
                      <pic:pic xmlns:pic="http://schemas.openxmlformats.org/drawingml/2006/picture">
                        <pic:nvPicPr>
                          <pic:cNvPr id="1026" name="图片_3"/>
                          <pic:cNvPicPr/>
                        </pic:nvPicPr>
                        <pic:blipFill>
                          <a:blip r:embed="rId8" cstate="print"/>
                          <a:srcRect/>
                          <a:stretch>
                            <a:fillRect/>
                          </a:stretch>
                        </pic:blipFill>
                        <pic:spPr>
                          <a:xfrm>
                            <a:off x="0" y="0"/>
                            <a:ext cx="685800" cy="4445"/>
                          </a:xfrm>
                          <a:prstGeom prst="rect">
                            <a:avLst/>
                          </a:prstGeom>
                          <a:ln>
                            <a:noFill/>
                          </a:ln>
                        </pic:spPr>
                      </pic:pic>
                    </a:graphicData>
                  </a:graphic>
                </wp:anchor>
              </w:drawing>
            </w:r>
            <w:r>
              <w:rPr>
                <w:rFonts w:hint="eastAsia" w:ascii="宋体" w:hAnsi="宋体" w:cs="宋体"/>
                <w:b/>
                <w:bCs/>
                <w:color w:val="auto"/>
                <w:kern w:val="0"/>
                <w:szCs w:val="21"/>
                <w:highlight w:val="none"/>
                <w:bdr w:val="single" w:color="000000" w:sz="4" w:space="0"/>
                <w:shd w:val="clear" w:color="auto" w:fill="E2EFDA"/>
              </w:rPr>
              <w:drawing>
                <wp:anchor distT="0" distB="0" distL="0" distR="0" simplePos="0" relativeHeight="251659264" behindDoc="0" locked="0" layoutInCell="1" allowOverlap="1">
                  <wp:simplePos x="0" y="0"/>
                  <wp:positionH relativeFrom="column">
                    <wp:posOffset>1734820</wp:posOffset>
                  </wp:positionH>
                  <wp:positionV relativeFrom="paragraph">
                    <wp:posOffset>0</wp:posOffset>
                  </wp:positionV>
                  <wp:extent cx="685800" cy="4445"/>
                  <wp:effectExtent l="0" t="0" r="0" b="0"/>
                  <wp:wrapNone/>
                  <wp:docPr id="1027" name="图片_6"/>
                  <wp:cNvGraphicFramePr/>
                  <a:graphic xmlns:a="http://schemas.openxmlformats.org/drawingml/2006/main">
                    <a:graphicData uri="http://schemas.openxmlformats.org/drawingml/2006/picture">
                      <pic:pic xmlns:pic="http://schemas.openxmlformats.org/drawingml/2006/picture">
                        <pic:nvPicPr>
                          <pic:cNvPr id="1027" name="图片_6"/>
                          <pic:cNvPicPr/>
                        </pic:nvPicPr>
                        <pic:blipFill>
                          <a:blip r:embed="rId8" cstate="print"/>
                          <a:srcRect/>
                          <a:stretch>
                            <a:fillRect/>
                          </a:stretch>
                        </pic:blipFill>
                        <pic:spPr>
                          <a:xfrm>
                            <a:off x="0" y="0"/>
                            <a:ext cx="685800" cy="4445"/>
                          </a:xfrm>
                          <a:prstGeom prst="rect">
                            <a:avLst/>
                          </a:prstGeom>
                          <a:ln>
                            <a:noFill/>
                          </a:ln>
                        </pic:spPr>
                      </pic:pic>
                    </a:graphicData>
                  </a:graphic>
                </wp:anchor>
              </w:drawing>
            </w:r>
            <w:r>
              <w:rPr>
                <w:rFonts w:hint="eastAsia" w:ascii="宋体" w:hAnsi="宋体" w:cs="宋体"/>
                <w:b/>
                <w:bCs/>
                <w:color w:val="auto"/>
                <w:kern w:val="0"/>
                <w:szCs w:val="21"/>
                <w:highlight w:val="none"/>
              </w:rPr>
              <w:t>五、中央控制系统</w:t>
            </w:r>
          </w:p>
        </w:tc>
        <w:tc>
          <w:tcPr>
            <w:tcW w:w="1391" w:type="dxa"/>
            <w:gridSpan w:val="2"/>
            <w:shd w:val="clear" w:color="auto" w:fill="E2EFDA"/>
            <w:noWrap/>
            <w:vAlign w:val="center"/>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jc w:val="center"/>
        </w:trPr>
        <w:tc>
          <w:tcPr>
            <w:tcW w:w="650"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1</w:t>
            </w:r>
          </w:p>
        </w:tc>
        <w:tc>
          <w:tcPr>
            <w:tcW w:w="1569" w:type="dxa"/>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网络型可编程中控主机</w:t>
            </w:r>
          </w:p>
        </w:tc>
        <w:tc>
          <w:tcPr>
            <w:tcW w:w="6241" w:type="dxa"/>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1.采用最新ARM多核处理器，处理速度≥792MHz，内存≥512M，Flash闪存≥8G</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2.内置Web网页服务端，免主机编程软件，内置模块化事件编程服务器</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3.主机具备≥8路数字I/0输入输出控制口，带保护电路、≥8路独立可编程串口，≥8路独立可编程IR红外发射口，内置红外学习器、≥8路弱电继电器控制接口</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4.支持云平台上共享资源，无论自建模块、宏模块编组、用户图形组件组，均可在云平台上分享并形成共享社区；</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5.前面板支持不少于4个编程物理按钮，可添加任意控制模式；</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6.支持可视化可编程控制，分布式架构，通过平板可视化监控每个会议室的音视频信号并远程控制灯光窗帘电源开关；</w:t>
            </w:r>
          </w:p>
        </w:tc>
        <w:tc>
          <w:tcPr>
            <w:tcW w:w="698"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1</w:t>
            </w:r>
          </w:p>
        </w:tc>
        <w:tc>
          <w:tcPr>
            <w:tcW w:w="693"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50"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2</w:t>
            </w:r>
          </w:p>
        </w:tc>
        <w:tc>
          <w:tcPr>
            <w:tcW w:w="1569"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中控编程</w:t>
            </w:r>
          </w:p>
        </w:tc>
        <w:tc>
          <w:tcPr>
            <w:tcW w:w="6241" w:type="dxa"/>
            <w:shd w:val="clear" w:color="auto" w:fill="auto"/>
            <w:noWrap/>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根据用户要求定义软件及用户界面</w:t>
            </w:r>
          </w:p>
        </w:tc>
        <w:tc>
          <w:tcPr>
            <w:tcW w:w="698"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1</w:t>
            </w:r>
          </w:p>
        </w:tc>
        <w:tc>
          <w:tcPr>
            <w:tcW w:w="693"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jc w:val="center"/>
        </w:trPr>
        <w:tc>
          <w:tcPr>
            <w:tcW w:w="650"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3</w:t>
            </w:r>
          </w:p>
        </w:tc>
        <w:tc>
          <w:tcPr>
            <w:tcW w:w="1569"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时序电源</w:t>
            </w:r>
          </w:p>
        </w:tc>
        <w:tc>
          <w:tcPr>
            <w:tcW w:w="6241" w:type="dxa"/>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1.≥8路电源时序控制，每路延时1秒，可通过软件设置延时关闭；</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2.整机容量：≥50A；</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3.需提供≥9个插座输出；</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4.需支持多台机器级联；</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5.应具有标准RS232串口控制功能；</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6.具有外部电平(5V-24V)控制接口和级联控口；</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7.需带数码LED电压指示；</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8.设备应具备旁通功能，防止万一内部故障时的应急使用；</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9.支持通过电脑软件控制</w:t>
            </w:r>
          </w:p>
        </w:tc>
        <w:tc>
          <w:tcPr>
            <w:tcW w:w="698"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1</w:t>
            </w:r>
          </w:p>
        </w:tc>
        <w:tc>
          <w:tcPr>
            <w:tcW w:w="693"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50"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4</w:t>
            </w:r>
          </w:p>
        </w:tc>
        <w:tc>
          <w:tcPr>
            <w:tcW w:w="1569"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中控平板</w:t>
            </w:r>
          </w:p>
        </w:tc>
        <w:tc>
          <w:tcPr>
            <w:tcW w:w="6241" w:type="dxa"/>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11.5寸，8G+256G，要求华为同档次产品</w:t>
            </w:r>
          </w:p>
        </w:tc>
        <w:tc>
          <w:tcPr>
            <w:tcW w:w="698"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1</w:t>
            </w:r>
          </w:p>
        </w:tc>
        <w:tc>
          <w:tcPr>
            <w:tcW w:w="693"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650"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5</w:t>
            </w:r>
          </w:p>
        </w:tc>
        <w:tc>
          <w:tcPr>
            <w:tcW w:w="1569"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无线路由器</w:t>
            </w:r>
          </w:p>
        </w:tc>
        <w:tc>
          <w:tcPr>
            <w:tcW w:w="6241" w:type="dxa"/>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带机量200台,转发性能1Mpps,推荐带宽1G,1*GE Combo(WAN口)+4*GE(LAN口,支持切换为WAN口),IPSec VPN:75条,桌面款,塑胶外壳,不能管理Wi-Fi 6 AP，无线企业网关</w:t>
            </w:r>
          </w:p>
        </w:tc>
        <w:tc>
          <w:tcPr>
            <w:tcW w:w="698"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1</w:t>
            </w:r>
          </w:p>
        </w:tc>
        <w:tc>
          <w:tcPr>
            <w:tcW w:w="693"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650"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6</w:t>
            </w:r>
          </w:p>
        </w:tc>
        <w:tc>
          <w:tcPr>
            <w:tcW w:w="1569"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交换机</w:t>
            </w:r>
          </w:p>
        </w:tc>
        <w:tc>
          <w:tcPr>
            <w:tcW w:w="6241" w:type="dxa"/>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千兆web管理交换机,包转发率42Mpps,交换容量336Gbps,24个千兆电口,4个千兆光口,VLAN:4K,MAC:8K,1U标准机架款,金属外壳,挂耳默认自带</w:t>
            </w:r>
          </w:p>
        </w:tc>
        <w:tc>
          <w:tcPr>
            <w:tcW w:w="698"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1</w:t>
            </w:r>
          </w:p>
        </w:tc>
        <w:tc>
          <w:tcPr>
            <w:tcW w:w="693"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460" w:type="dxa"/>
            <w:gridSpan w:val="3"/>
            <w:shd w:val="clear" w:color="auto" w:fill="E2EFDA"/>
            <w:noWrap/>
            <w:vAlign w:val="center"/>
          </w:tcPr>
          <w:p>
            <w:pPr>
              <w:widowControl/>
              <w:jc w:val="left"/>
              <w:textAlignment w:val="center"/>
              <w:rPr>
                <w:rFonts w:ascii="宋体" w:hAnsi="宋体" w:cs="宋体"/>
                <w:b/>
                <w:bCs/>
                <w:color w:val="auto"/>
                <w:szCs w:val="21"/>
                <w:highlight w:val="none"/>
              </w:rPr>
            </w:pPr>
            <w:r>
              <w:rPr>
                <w:rFonts w:hint="eastAsia" w:ascii="宋体" w:hAnsi="宋体" w:cs="宋体"/>
                <w:b/>
                <w:bCs/>
                <w:color w:val="auto"/>
                <w:kern w:val="0"/>
                <w:szCs w:val="21"/>
                <w:highlight w:val="none"/>
                <w:bdr w:val="single" w:color="000000" w:sz="4" w:space="0"/>
                <w:shd w:val="clear" w:color="auto" w:fill="E2EFDA"/>
              </w:rPr>
              <w:drawing>
                <wp:anchor distT="0" distB="0" distL="0" distR="0" simplePos="0" relativeHeight="251659264" behindDoc="0" locked="0" layoutInCell="1" allowOverlap="1">
                  <wp:simplePos x="0" y="0"/>
                  <wp:positionH relativeFrom="column">
                    <wp:posOffset>1734820</wp:posOffset>
                  </wp:positionH>
                  <wp:positionV relativeFrom="paragraph">
                    <wp:posOffset>0</wp:posOffset>
                  </wp:positionV>
                  <wp:extent cx="685800" cy="4445"/>
                  <wp:effectExtent l="0" t="0" r="0" b="0"/>
                  <wp:wrapNone/>
                  <wp:docPr id="1028" name="图片_2"/>
                  <wp:cNvGraphicFramePr/>
                  <a:graphic xmlns:a="http://schemas.openxmlformats.org/drawingml/2006/main">
                    <a:graphicData uri="http://schemas.openxmlformats.org/drawingml/2006/picture">
                      <pic:pic xmlns:pic="http://schemas.openxmlformats.org/drawingml/2006/picture">
                        <pic:nvPicPr>
                          <pic:cNvPr id="1028" name="图片_2"/>
                          <pic:cNvPicPr/>
                        </pic:nvPicPr>
                        <pic:blipFill>
                          <a:blip r:embed="rId8" cstate="print"/>
                          <a:srcRect/>
                          <a:stretch>
                            <a:fillRect/>
                          </a:stretch>
                        </pic:blipFill>
                        <pic:spPr>
                          <a:xfrm>
                            <a:off x="0" y="0"/>
                            <a:ext cx="685800" cy="4445"/>
                          </a:xfrm>
                          <a:prstGeom prst="rect">
                            <a:avLst/>
                          </a:prstGeom>
                          <a:ln>
                            <a:noFill/>
                          </a:ln>
                        </pic:spPr>
                      </pic:pic>
                    </a:graphicData>
                  </a:graphic>
                </wp:anchor>
              </w:drawing>
            </w:r>
            <w:r>
              <w:rPr>
                <w:rFonts w:hint="eastAsia" w:ascii="宋体" w:hAnsi="宋体" w:cs="宋体"/>
                <w:b/>
                <w:bCs/>
                <w:color w:val="auto"/>
                <w:kern w:val="0"/>
                <w:szCs w:val="21"/>
                <w:highlight w:val="none"/>
              </w:rPr>
              <w:t>六、装饰装修</w:t>
            </w:r>
          </w:p>
        </w:tc>
        <w:tc>
          <w:tcPr>
            <w:tcW w:w="1391" w:type="dxa"/>
            <w:gridSpan w:val="2"/>
            <w:shd w:val="clear" w:color="auto" w:fill="E2EFDA"/>
            <w:noWrap/>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50"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1</w:t>
            </w:r>
          </w:p>
        </w:tc>
        <w:tc>
          <w:tcPr>
            <w:tcW w:w="1569"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吊顶拆补人工</w:t>
            </w:r>
          </w:p>
        </w:tc>
        <w:tc>
          <w:tcPr>
            <w:tcW w:w="6241" w:type="dxa"/>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会议室吊顶拆除及复原，音箱支架开孔、大屏线缆开孔检修口预留、机柜线缆开孔，检修口预留</w:t>
            </w:r>
          </w:p>
        </w:tc>
        <w:tc>
          <w:tcPr>
            <w:tcW w:w="698"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1</w:t>
            </w:r>
          </w:p>
        </w:tc>
        <w:tc>
          <w:tcPr>
            <w:tcW w:w="693"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50"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2</w:t>
            </w:r>
          </w:p>
        </w:tc>
        <w:tc>
          <w:tcPr>
            <w:tcW w:w="1569"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筒灯</w:t>
            </w:r>
          </w:p>
        </w:tc>
        <w:tc>
          <w:tcPr>
            <w:tcW w:w="6241" w:type="dxa"/>
            <w:shd w:val="clear" w:color="auto" w:fill="auto"/>
            <w:noWrap/>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包含主席台射灯及安装</w:t>
            </w:r>
          </w:p>
        </w:tc>
        <w:tc>
          <w:tcPr>
            <w:tcW w:w="698"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10</w:t>
            </w:r>
          </w:p>
        </w:tc>
        <w:tc>
          <w:tcPr>
            <w:tcW w:w="693"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50"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3</w:t>
            </w:r>
          </w:p>
        </w:tc>
        <w:tc>
          <w:tcPr>
            <w:tcW w:w="1569"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综合布线人工</w:t>
            </w:r>
          </w:p>
        </w:tc>
        <w:tc>
          <w:tcPr>
            <w:tcW w:w="6241" w:type="dxa"/>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bdr w:val="single" w:color="000000" w:sz="4" w:space="0"/>
              </w:rPr>
              <w:drawing>
                <wp:anchor distT="0" distB="0" distL="0" distR="0" simplePos="0" relativeHeight="251659264" behindDoc="0" locked="0" layoutInCell="1" allowOverlap="1">
                  <wp:simplePos x="0" y="0"/>
                  <wp:positionH relativeFrom="column">
                    <wp:posOffset>0</wp:posOffset>
                  </wp:positionH>
                  <wp:positionV relativeFrom="paragraph">
                    <wp:posOffset>0</wp:posOffset>
                  </wp:positionV>
                  <wp:extent cx="685800" cy="4445"/>
                  <wp:effectExtent l="0" t="0" r="0" b="0"/>
                  <wp:wrapNone/>
                  <wp:docPr id="1029" name="图片_7"/>
                  <wp:cNvGraphicFramePr/>
                  <a:graphic xmlns:a="http://schemas.openxmlformats.org/drawingml/2006/main">
                    <a:graphicData uri="http://schemas.openxmlformats.org/drawingml/2006/picture">
                      <pic:pic xmlns:pic="http://schemas.openxmlformats.org/drawingml/2006/picture">
                        <pic:nvPicPr>
                          <pic:cNvPr id="1029" name="图片_7"/>
                          <pic:cNvPicPr/>
                        </pic:nvPicPr>
                        <pic:blipFill>
                          <a:blip r:embed="rId8" cstate="print"/>
                          <a:srcRect/>
                          <a:stretch>
                            <a:fillRect/>
                          </a:stretch>
                        </pic:blipFill>
                        <pic:spPr>
                          <a:xfrm>
                            <a:off x="0" y="0"/>
                            <a:ext cx="685800" cy="4445"/>
                          </a:xfrm>
                          <a:prstGeom prst="rect">
                            <a:avLst/>
                          </a:prstGeom>
                          <a:ln>
                            <a:noFill/>
                          </a:ln>
                        </pic:spPr>
                      </pic:pic>
                    </a:graphicData>
                  </a:graphic>
                </wp:anchor>
              </w:drawing>
            </w:r>
            <w:r>
              <w:rPr>
                <w:rFonts w:hint="eastAsia" w:ascii="宋体" w:hAnsi="宋体" w:cs="宋体"/>
                <w:color w:val="auto"/>
                <w:kern w:val="0"/>
                <w:szCs w:val="21"/>
                <w:highlight w:val="none"/>
              </w:rPr>
              <w:t>会议室综合布线，包含会议室大屏、视频会议、扩声、灯光等强电及弱电布局走线</w:t>
            </w:r>
          </w:p>
        </w:tc>
        <w:tc>
          <w:tcPr>
            <w:tcW w:w="698"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1</w:t>
            </w:r>
          </w:p>
        </w:tc>
        <w:tc>
          <w:tcPr>
            <w:tcW w:w="693"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50"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4</w:t>
            </w:r>
          </w:p>
        </w:tc>
        <w:tc>
          <w:tcPr>
            <w:tcW w:w="1569"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主配电柜</w:t>
            </w:r>
          </w:p>
        </w:tc>
        <w:tc>
          <w:tcPr>
            <w:tcW w:w="6241" w:type="dxa"/>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网口+RS485、一键安装、一键启停、中控控制、故障警示（500*400*200）</w:t>
            </w:r>
          </w:p>
        </w:tc>
        <w:tc>
          <w:tcPr>
            <w:tcW w:w="698"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1</w:t>
            </w:r>
          </w:p>
        </w:tc>
        <w:tc>
          <w:tcPr>
            <w:tcW w:w="693"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0"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5</w:t>
            </w:r>
          </w:p>
        </w:tc>
        <w:tc>
          <w:tcPr>
            <w:tcW w:w="1569"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主进线电缆</w:t>
            </w:r>
          </w:p>
        </w:tc>
        <w:tc>
          <w:tcPr>
            <w:tcW w:w="6241" w:type="dxa"/>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从强电井到配电柜</w:t>
            </w:r>
          </w:p>
        </w:tc>
        <w:tc>
          <w:tcPr>
            <w:tcW w:w="698"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20</w:t>
            </w:r>
          </w:p>
        </w:tc>
        <w:tc>
          <w:tcPr>
            <w:tcW w:w="693"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0"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6</w:t>
            </w:r>
          </w:p>
        </w:tc>
        <w:tc>
          <w:tcPr>
            <w:tcW w:w="1569"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分支电缆</w:t>
            </w:r>
          </w:p>
        </w:tc>
        <w:tc>
          <w:tcPr>
            <w:tcW w:w="6241" w:type="dxa"/>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大屏、机柜设备、射灯</w:t>
            </w:r>
          </w:p>
        </w:tc>
        <w:tc>
          <w:tcPr>
            <w:tcW w:w="698"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2</w:t>
            </w:r>
          </w:p>
        </w:tc>
        <w:tc>
          <w:tcPr>
            <w:tcW w:w="693"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0"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7</w:t>
            </w:r>
          </w:p>
        </w:tc>
        <w:tc>
          <w:tcPr>
            <w:tcW w:w="1569"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网线</w:t>
            </w:r>
          </w:p>
        </w:tc>
        <w:tc>
          <w:tcPr>
            <w:tcW w:w="6241" w:type="dxa"/>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六类费屏蔽网线</w:t>
            </w:r>
          </w:p>
        </w:tc>
        <w:tc>
          <w:tcPr>
            <w:tcW w:w="698"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1</w:t>
            </w:r>
          </w:p>
        </w:tc>
        <w:tc>
          <w:tcPr>
            <w:tcW w:w="693"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0"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8</w:t>
            </w:r>
          </w:p>
        </w:tc>
        <w:tc>
          <w:tcPr>
            <w:tcW w:w="1569"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音箱线</w:t>
            </w:r>
          </w:p>
        </w:tc>
        <w:tc>
          <w:tcPr>
            <w:tcW w:w="6241" w:type="dxa"/>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1.5平方护套线，无氧铜线芯100米，200芯金银线</w:t>
            </w:r>
          </w:p>
        </w:tc>
        <w:tc>
          <w:tcPr>
            <w:tcW w:w="698"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1</w:t>
            </w:r>
          </w:p>
        </w:tc>
        <w:tc>
          <w:tcPr>
            <w:tcW w:w="693"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0"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9</w:t>
            </w:r>
          </w:p>
        </w:tc>
        <w:tc>
          <w:tcPr>
            <w:tcW w:w="1569"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高清线</w:t>
            </w:r>
          </w:p>
        </w:tc>
        <w:tc>
          <w:tcPr>
            <w:tcW w:w="6241" w:type="dxa"/>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1根20米，2根15米，2根10米，4根2米</w:t>
            </w:r>
          </w:p>
        </w:tc>
        <w:tc>
          <w:tcPr>
            <w:tcW w:w="698"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1</w:t>
            </w:r>
          </w:p>
        </w:tc>
        <w:tc>
          <w:tcPr>
            <w:tcW w:w="693"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0"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10</w:t>
            </w:r>
          </w:p>
        </w:tc>
        <w:tc>
          <w:tcPr>
            <w:tcW w:w="1569"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切换器</w:t>
            </w:r>
          </w:p>
        </w:tc>
        <w:tc>
          <w:tcPr>
            <w:tcW w:w="6241" w:type="dxa"/>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HDMI信号切换器，2进1出</w:t>
            </w:r>
          </w:p>
        </w:tc>
        <w:tc>
          <w:tcPr>
            <w:tcW w:w="698"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1</w:t>
            </w:r>
          </w:p>
        </w:tc>
        <w:tc>
          <w:tcPr>
            <w:tcW w:w="693"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0"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11</w:t>
            </w:r>
          </w:p>
        </w:tc>
        <w:tc>
          <w:tcPr>
            <w:tcW w:w="1569"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音频接头</w:t>
            </w:r>
          </w:p>
        </w:tc>
        <w:tc>
          <w:tcPr>
            <w:tcW w:w="6241" w:type="dxa"/>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音箱接线卡龙头</w:t>
            </w:r>
          </w:p>
        </w:tc>
        <w:tc>
          <w:tcPr>
            <w:tcW w:w="698"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1</w:t>
            </w:r>
          </w:p>
        </w:tc>
        <w:tc>
          <w:tcPr>
            <w:tcW w:w="693"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0"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12</w:t>
            </w:r>
          </w:p>
        </w:tc>
        <w:tc>
          <w:tcPr>
            <w:tcW w:w="1569"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音频跳线</w:t>
            </w:r>
          </w:p>
        </w:tc>
        <w:tc>
          <w:tcPr>
            <w:tcW w:w="6241" w:type="dxa"/>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音频跳线，成品信号线</w:t>
            </w:r>
          </w:p>
        </w:tc>
        <w:tc>
          <w:tcPr>
            <w:tcW w:w="698"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1</w:t>
            </w:r>
          </w:p>
        </w:tc>
        <w:tc>
          <w:tcPr>
            <w:tcW w:w="693"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0"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13</w:t>
            </w:r>
          </w:p>
        </w:tc>
        <w:tc>
          <w:tcPr>
            <w:tcW w:w="1569"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桥架</w:t>
            </w:r>
          </w:p>
        </w:tc>
        <w:tc>
          <w:tcPr>
            <w:tcW w:w="6241" w:type="dxa"/>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主电缆到机柜下墙桥架</w:t>
            </w:r>
          </w:p>
        </w:tc>
        <w:tc>
          <w:tcPr>
            <w:tcW w:w="698"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1</w:t>
            </w:r>
          </w:p>
        </w:tc>
        <w:tc>
          <w:tcPr>
            <w:tcW w:w="693"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0"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14</w:t>
            </w:r>
          </w:p>
        </w:tc>
        <w:tc>
          <w:tcPr>
            <w:tcW w:w="1569"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线管</w:t>
            </w:r>
          </w:p>
        </w:tc>
        <w:tc>
          <w:tcPr>
            <w:tcW w:w="6241" w:type="dxa"/>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强电线、音箱线及弱电线走线套管</w:t>
            </w:r>
          </w:p>
        </w:tc>
        <w:tc>
          <w:tcPr>
            <w:tcW w:w="698"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1</w:t>
            </w:r>
          </w:p>
        </w:tc>
        <w:tc>
          <w:tcPr>
            <w:tcW w:w="693"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0"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15</w:t>
            </w:r>
          </w:p>
        </w:tc>
        <w:tc>
          <w:tcPr>
            <w:tcW w:w="1569" w:type="dxa"/>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墙面开槽</w:t>
            </w:r>
          </w:p>
        </w:tc>
        <w:tc>
          <w:tcPr>
            <w:tcW w:w="6241" w:type="dxa"/>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大屏电缆下线</w:t>
            </w:r>
          </w:p>
        </w:tc>
        <w:tc>
          <w:tcPr>
            <w:tcW w:w="698" w:type="dxa"/>
            <w:shd w:val="clear" w:color="auto" w:fill="FFFFFF"/>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 xml:space="preserve">5.00 </w:t>
            </w:r>
          </w:p>
        </w:tc>
        <w:tc>
          <w:tcPr>
            <w:tcW w:w="693" w:type="dxa"/>
            <w:shd w:val="clear" w:color="auto" w:fill="FFFFFF"/>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w:t>
            </w:r>
          </w:p>
        </w:tc>
      </w:tr>
    </w:tbl>
    <w:p>
      <w:pPr>
        <w:spacing w:line="360" w:lineRule="auto"/>
        <w:rPr>
          <w:rFonts w:ascii="仿宋" w:hAnsi="仿宋" w:eastAsia="仿宋" w:cs="仿宋"/>
          <w:bCs/>
          <w:color w:val="auto"/>
          <w:szCs w:val="21"/>
          <w:highlight w:val="none"/>
        </w:rPr>
      </w:pPr>
    </w:p>
    <w:p>
      <w:pPr>
        <w:spacing w:line="360" w:lineRule="auto"/>
        <w:rPr>
          <w:rFonts w:ascii="宋体" w:hAnsi="宋体"/>
          <w:b/>
          <w:color w:val="auto"/>
          <w:szCs w:val="21"/>
          <w:highlight w:val="none"/>
        </w:rPr>
      </w:pPr>
      <w:r>
        <w:rPr>
          <w:rFonts w:hint="eastAsia" w:ascii="仿宋" w:hAnsi="仿宋" w:eastAsia="仿宋" w:cs="仿宋"/>
          <w:bCs/>
          <w:color w:val="auto"/>
          <w:szCs w:val="21"/>
          <w:highlight w:val="none"/>
        </w:rPr>
        <w:t>注：标注</w:t>
      </w:r>
      <w:r>
        <w:rPr>
          <w:rFonts w:hint="eastAsia" w:ascii="仿宋" w:hAnsi="仿宋" w:eastAsia="仿宋" w:cs="仿宋"/>
          <w:color w:val="auto"/>
          <w:kern w:val="0"/>
          <w:szCs w:val="21"/>
          <w:highlight w:val="none"/>
        </w:rPr>
        <w:t>“★”</w:t>
      </w:r>
      <w:r>
        <w:rPr>
          <w:rFonts w:hint="eastAsia" w:ascii="仿宋" w:hAnsi="仿宋" w:eastAsia="仿宋" w:cs="仿宋"/>
          <w:bCs/>
          <w:color w:val="auto"/>
          <w:szCs w:val="21"/>
          <w:highlight w:val="none"/>
        </w:rPr>
        <w:t>的参数是核心参数，必须满足；标注</w:t>
      </w:r>
      <w:r>
        <w:rPr>
          <w:rFonts w:hint="eastAsia" w:ascii="仿宋" w:hAnsi="仿宋" w:eastAsia="仿宋" w:cs="仿宋"/>
          <w:color w:val="auto"/>
          <w:kern w:val="0"/>
          <w:szCs w:val="21"/>
          <w:highlight w:val="none"/>
        </w:rPr>
        <w:t>“▲”</w:t>
      </w:r>
      <w:r>
        <w:rPr>
          <w:rFonts w:hint="eastAsia" w:ascii="仿宋" w:hAnsi="仿宋" w:eastAsia="仿宋" w:cs="仿宋"/>
          <w:bCs/>
          <w:color w:val="auto"/>
          <w:szCs w:val="21"/>
          <w:highlight w:val="none"/>
        </w:rPr>
        <w:t>的参数是实质性响应参数；没有标注的是一般参数。供应商须按要求提供竞争性磋商比选文件规定的相关证明材料。</w:t>
      </w:r>
    </w:p>
    <w:p>
      <w:pPr>
        <w:spacing w:line="360" w:lineRule="auto"/>
        <w:rPr>
          <w:rFonts w:ascii="宋体" w:hAnsi="宋体"/>
          <w:b/>
          <w:color w:val="auto"/>
          <w:szCs w:val="21"/>
          <w:highlight w:val="none"/>
        </w:rPr>
      </w:pPr>
    </w:p>
    <w:p>
      <w:pPr>
        <w:spacing w:line="360" w:lineRule="auto"/>
        <w:rPr>
          <w:rFonts w:ascii="宋体" w:hAnsi="宋体"/>
          <w:b/>
          <w:color w:val="auto"/>
          <w:szCs w:val="21"/>
          <w:highlight w:val="none"/>
        </w:rPr>
      </w:pPr>
      <w:r>
        <w:rPr>
          <w:rFonts w:hint="eastAsia" w:ascii="宋体" w:hAnsi="宋体"/>
          <w:b/>
          <w:color w:val="auto"/>
          <w:szCs w:val="21"/>
          <w:highlight w:val="none"/>
        </w:rPr>
        <w:t>二、项目进度要求</w:t>
      </w:r>
    </w:p>
    <w:p>
      <w:pPr>
        <w:spacing w:line="360" w:lineRule="auto"/>
        <w:ind w:firstLine="420" w:firstLineChars="200"/>
        <w:rPr>
          <w:rFonts w:ascii="宋体" w:hAnsi="宋体" w:cs="宋体"/>
          <w:bCs/>
          <w:color w:val="auto"/>
          <w:szCs w:val="21"/>
          <w:highlight w:val="none"/>
        </w:rPr>
      </w:pPr>
      <w:r>
        <w:rPr>
          <w:rFonts w:ascii="宋体" w:hAnsi="宋体"/>
          <w:color w:val="auto"/>
          <w:szCs w:val="21"/>
          <w:highlight w:val="none"/>
        </w:rPr>
        <w:t>合同签订之日起</w:t>
      </w:r>
      <w:r>
        <w:rPr>
          <w:rFonts w:hint="eastAsia" w:ascii="宋体" w:hAnsi="宋体"/>
          <w:color w:val="auto"/>
          <w:szCs w:val="21"/>
          <w:highlight w:val="none"/>
        </w:rPr>
        <w:t>2</w:t>
      </w:r>
      <w:r>
        <w:rPr>
          <w:rFonts w:ascii="宋体" w:hAnsi="宋体"/>
          <w:color w:val="auto"/>
          <w:szCs w:val="21"/>
          <w:highlight w:val="none"/>
        </w:rPr>
        <w:t>0</w:t>
      </w:r>
      <w:r>
        <w:rPr>
          <w:rFonts w:hint="eastAsia" w:ascii="宋体" w:hAnsi="宋体"/>
          <w:color w:val="auto"/>
          <w:szCs w:val="21"/>
          <w:highlight w:val="none"/>
        </w:rPr>
        <w:t>日</w:t>
      </w:r>
      <w:r>
        <w:rPr>
          <w:rFonts w:ascii="宋体" w:hAnsi="宋体"/>
          <w:color w:val="auto"/>
          <w:szCs w:val="21"/>
          <w:highlight w:val="none"/>
        </w:rPr>
        <w:t>内交</w:t>
      </w:r>
      <w:r>
        <w:rPr>
          <w:rFonts w:hint="eastAsia" w:ascii="宋体" w:hAnsi="宋体"/>
          <w:color w:val="auto"/>
          <w:szCs w:val="21"/>
          <w:highlight w:val="none"/>
        </w:rPr>
        <w:t>货并安装调试完成</w:t>
      </w:r>
      <w:r>
        <w:rPr>
          <w:rFonts w:hint="eastAsia" w:ascii="宋体" w:hAnsi="宋体" w:cs="宋体"/>
          <w:bCs/>
          <w:color w:val="auto"/>
          <w:szCs w:val="21"/>
          <w:highlight w:val="none"/>
        </w:rPr>
        <w:t>。</w:t>
      </w:r>
    </w:p>
    <w:p>
      <w:pPr>
        <w:spacing w:line="360" w:lineRule="auto"/>
        <w:rPr>
          <w:rFonts w:ascii="宋体" w:hAnsi="宋体"/>
          <w:b/>
          <w:color w:val="auto"/>
          <w:szCs w:val="21"/>
          <w:highlight w:val="none"/>
        </w:rPr>
      </w:pPr>
      <w:r>
        <w:rPr>
          <w:rFonts w:hint="eastAsia" w:ascii="宋体" w:hAnsi="宋体"/>
          <w:b/>
          <w:color w:val="auto"/>
          <w:szCs w:val="21"/>
          <w:highlight w:val="none"/>
        </w:rPr>
        <w:t>三、质保和服务要求</w:t>
      </w:r>
    </w:p>
    <w:p>
      <w:pPr>
        <w:pStyle w:val="36"/>
        <w:ind w:left="0" w:leftChars="0" w:firstLine="424" w:firstLineChars="202"/>
        <w:rPr>
          <w:color w:val="auto"/>
          <w:highlight w:val="none"/>
        </w:rPr>
      </w:pPr>
      <w:r>
        <w:rPr>
          <w:rFonts w:hint="eastAsia"/>
          <w:color w:val="auto"/>
          <w:highlight w:val="none"/>
        </w:rPr>
        <w:t>1、</w:t>
      </w:r>
      <w:r>
        <w:rPr>
          <w:rFonts w:hint="eastAsia" w:ascii="宋体" w:hAnsi="宋体"/>
          <w:b/>
          <w:color w:val="auto"/>
          <w:szCs w:val="21"/>
          <w:highlight w:val="none"/>
        </w:rPr>
        <w:t>响应文件中须提供</w:t>
      </w:r>
      <w:r>
        <w:rPr>
          <w:rFonts w:hint="eastAsia"/>
          <w:b/>
          <w:color w:val="auto"/>
          <w:highlight w:val="none"/>
        </w:rPr>
        <w:t>售后服务承诺书，</w:t>
      </w:r>
      <w:r>
        <w:rPr>
          <w:rFonts w:hint="eastAsia" w:ascii="宋体" w:hAnsi="宋体"/>
          <w:b/>
          <w:color w:val="auto"/>
          <w:szCs w:val="21"/>
          <w:highlight w:val="none"/>
        </w:rPr>
        <w:t>格式自拟并加盖公章。</w:t>
      </w:r>
    </w:p>
    <w:p>
      <w:pPr>
        <w:pStyle w:val="36"/>
        <w:ind w:left="0" w:leftChars="0"/>
        <w:rPr>
          <w:rFonts w:ascii="宋体" w:hAnsi="宋体" w:cs="宋体"/>
          <w:color w:val="auto"/>
          <w:szCs w:val="21"/>
          <w:highlight w:val="none"/>
        </w:rPr>
      </w:pPr>
      <w:r>
        <w:rPr>
          <w:rFonts w:hint="eastAsia" w:ascii="宋体" w:hAnsi="宋体" w:cs="宋体"/>
          <w:color w:val="auto"/>
          <w:szCs w:val="21"/>
          <w:highlight w:val="none"/>
        </w:rPr>
        <w:t>2、产品及相关的系统提供1年的免费质保期，质保期从本项目验收合格之日起计算。</w:t>
      </w:r>
    </w:p>
    <w:p>
      <w:pPr>
        <w:pStyle w:val="36"/>
        <w:ind w:left="0" w:leftChars="0"/>
        <w:rPr>
          <w:rFonts w:ascii="宋体" w:hAnsi="宋体" w:cs="宋体"/>
          <w:color w:val="auto"/>
          <w:szCs w:val="21"/>
          <w:highlight w:val="none"/>
        </w:rPr>
      </w:pPr>
      <w:r>
        <w:rPr>
          <w:rFonts w:hint="eastAsia" w:ascii="宋体" w:hAnsi="宋体" w:cs="宋体"/>
          <w:color w:val="auto"/>
          <w:szCs w:val="21"/>
          <w:highlight w:val="none"/>
        </w:rPr>
        <w:t>3、设备质保期内，若采购人提出对系统设备（含软、硬件）的运行与维护有用的技术改进，成交供应商有义务按采购人要求提供相应技术支持和改进。</w:t>
      </w:r>
    </w:p>
    <w:p>
      <w:pPr>
        <w:pStyle w:val="36"/>
        <w:ind w:left="0" w:leftChars="0"/>
        <w:rPr>
          <w:rFonts w:ascii="宋体" w:hAnsi="宋体" w:cs="宋体"/>
          <w:color w:val="auto"/>
          <w:szCs w:val="21"/>
          <w:highlight w:val="none"/>
        </w:rPr>
      </w:pPr>
      <w:r>
        <w:rPr>
          <w:rFonts w:hint="eastAsia" w:ascii="宋体" w:hAnsi="宋体" w:cs="宋体"/>
          <w:color w:val="auto"/>
          <w:szCs w:val="21"/>
          <w:highlight w:val="none"/>
        </w:rPr>
        <w:t>4、质保期内设备发生故障无法使用时，报修后</w:t>
      </w:r>
      <w:r>
        <w:rPr>
          <w:rFonts w:ascii="宋体" w:hAnsi="宋体" w:cs="宋体"/>
          <w:color w:val="auto"/>
          <w:szCs w:val="21"/>
          <w:highlight w:val="none"/>
        </w:rPr>
        <w:t>2</w:t>
      </w:r>
      <w:r>
        <w:rPr>
          <w:rFonts w:hint="eastAsia" w:ascii="宋体" w:hAnsi="宋体" w:cs="宋体"/>
          <w:color w:val="auto"/>
          <w:szCs w:val="21"/>
          <w:highlight w:val="none"/>
        </w:rPr>
        <w:t>小时内响应，</w:t>
      </w:r>
      <w:r>
        <w:rPr>
          <w:rFonts w:ascii="宋体" w:hAnsi="宋体" w:cs="宋体"/>
          <w:color w:val="auto"/>
          <w:szCs w:val="21"/>
          <w:highlight w:val="none"/>
        </w:rPr>
        <w:t>4</w:t>
      </w:r>
      <w:r>
        <w:rPr>
          <w:rFonts w:hint="eastAsia" w:ascii="宋体" w:hAnsi="宋体" w:cs="宋体"/>
          <w:color w:val="auto"/>
          <w:szCs w:val="21"/>
          <w:highlight w:val="none"/>
        </w:rPr>
        <w:t>小时内到达现场，维修期超过</w:t>
      </w:r>
      <w:r>
        <w:rPr>
          <w:rFonts w:ascii="宋体" w:hAnsi="宋体" w:cs="宋体"/>
          <w:color w:val="auto"/>
          <w:szCs w:val="21"/>
          <w:highlight w:val="none"/>
        </w:rPr>
        <w:t>2</w:t>
      </w:r>
      <w:r>
        <w:rPr>
          <w:rFonts w:hint="eastAsia" w:ascii="宋体" w:hAnsi="宋体" w:cs="宋体"/>
          <w:color w:val="auto"/>
          <w:szCs w:val="21"/>
          <w:highlight w:val="none"/>
        </w:rPr>
        <w:t>天的，为采购人提供满足需求的替代设备。质保期内，所有硬件设备的维修均为免费，所有的上门服务产生的费用均不再收取；质保期满后，保证零配件的供给，只收取成本费。</w:t>
      </w:r>
    </w:p>
    <w:p>
      <w:pPr>
        <w:pStyle w:val="36"/>
        <w:ind w:left="0" w:leftChars="0"/>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b/>
          <w:color w:val="auto"/>
          <w:szCs w:val="21"/>
          <w:highlight w:val="none"/>
        </w:rPr>
        <w:t>响应文件中须提供售后服务人员的详细联系方式，包括电话、传真、手机或其它便捷的通讯手段，便于采购人与技术支持工程师进行联系，对于采购人提出的所有需求，在4小时内给予答复。</w:t>
      </w:r>
    </w:p>
    <w:p>
      <w:pPr>
        <w:pStyle w:val="36"/>
        <w:ind w:left="0" w:leftChars="0"/>
        <w:rPr>
          <w:rFonts w:ascii="宋体" w:hAnsi="宋体" w:cs="宋体"/>
          <w:color w:val="auto"/>
          <w:szCs w:val="21"/>
          <w:highlight w:val="none"/>
        </w:rPr>
      </w:pPr>
      <w:r>
        <w:rPr>
          <w:rFonts w:hint="eastAsia" w:ascii="宋体" w:hAnsi="宋体" w:cs="宋体"/>
          <w:color w:val="auto"/>
          <w:szCs w:val="21"/>
          <w:highlight w:val="none"/>
        </w:rPr>
        <w:t>6、每半年对设备进行全面清洁和保养，以保证系统工作在最佳状态，减少系统的故障率。</w:t>
      </w:r>
    </w:p>
    <w:p>
      <w:pPr>
        <w:spacing w:line="360" w:lineRule="auto"/>
        <w:rPr>
          <w:rFonts w:ascii="宋体" w:hAnsi="宋体"/>
          <w:b/>
          <w:color w:val="auto"/>
          <w:szCs w:val="21"/>
          <w:highlight w:val="none"/>
        </w:rPr>
      </w:pPr>
      <w:r>
        <w:rPr>
          <w:rFonts w:hint="eastAsia" w:ascii="宋体" w:hAnsi="宋体"/>
          <w:b/>
          <w:color w:val="auto"/>
          <w:szCs w:val="21"/>
          <w:highlight w:val="none"/>
        </w:rPr>
        <w:t>四、人员培训</w:t>
      </w:r>
    </w:p>
    <w:p>
      <w:pPr>
        <w:pStyle w:val="36"/>
        <w:ind w:left="0" w:leftChars="0"/>
        <w:rPr>
          <w:rFonts w:ascii="宋体" w:hAnsi="宋体" w:cs="宋体"/>
          <w:color w:val="auto"/>
          <w:szCs w:val="21"/>
          <w:highlight w:val="none"/>
        </w:rPr>
      </w:pPr>
      <w:r>
        <w:rPr>
          <w:rFonts w:hint="eastAsia" w:ascii="宋体" w:hAnsi="宋体" w:cs="宋体"/>
          <w:color w:val="auto"/>
          <w:szCs w:val="21"/>
          <w:highlight w:val="none"/>
        </w:rPr>
        <w:t>1、成交供应商有责任完成对所有硬件产品、随机系统、系统集成、开发技术及工具等在内的全部培训，培训包括技术人员培训、系统维护培训。</w:t>
      </w:r>
    </w:p>
    <w:p>
      <w:pPr>
        <w:spacing w:line="360" w:lineRule="auto"/>
        <w:rPr>
          <w:rFonts w:ascii="宋体" w:hAnsi="宋体"/>
          <w:b/>
          <w:color w:val="auto"/>
          <w:szCs w:val="21"/>
          <w:highlight w:val="none"/>
        </w:rPr>
      </w:pPr>
      <w:r>
        <w:rPr>
          <w:rFonts w:hint="eastAsia" w:ascii="宋体" w:hAnsi="宋体"/>
          <w:b/>
          <w:color w:val="auto"/>
          <w:szCs w:val="21"/>
          <w:highlight w:val="none"/>
        </w:rPr>
        <w:t>五、项目验收</w:t>
      </w:r>
    </w:p>
    <w:p>
      <w:pPr>
        <w:pStyle w:val="36"/>
        <w:ind w:left="0" w:leftChars="0"/>
        <w:rPr>
          <w:rFonts w:ascii="宋体" w:hAnsi="宋体" w:cs="宋体"/>
          <w:color w:val="auto"/>
          <w:szCs w:val="21"/>
          <w:highlight w:val="none"/>
        </w:rPr>
      </w:pPr>
      <w:r>
        <w:rPr>
          <w:rFonts w:hint="eastAsia" w:ascii="宋体" w:hAnsi="宋体" w:cs="宋体"/>
          <w:color w:val="auto"/>
          <w:szCs w:val="21"/>
          <w:highlight w:val="none"/>
        </w:rPr>
        <w:t>1、本项目采用简易程序进行验收。项目验收另有国家有强制性规定的，按国家规定执行，验收费用由成交供应商承担，验收报告作为申请付款的凭证之一。</w:t>
      </w:r>
    </w:p>
    <w:p>
      <w:pPr>
        <w:pStyle w:val="36"/>
        <w:ind w:left="0" w:leftChars="0"/>
        <w:rPr>
          <w:rFonts w:ascii="宋体" w:hAnsi="宋体" w:cs="宋体"/>
          <w:color w:val="auto"/>
          <w:szCs w:val="21"/>
          <w:highlight w:val="none"/>
        </w:rPr>
      </w:pPr>
      <w:r>
        <w:rPr>
          <w:rFonts w:hint="eastAsia" w:ascii="宋体" w:hAnsi="宋体" w:cs="宋体"/>
          <w:color w:val="auto"/>
          <w:szCs w:val="21"/>
          <w:highlight w:val="none"/>
        </w:rPr>
        <w:t>2、验收过程中产生纠纷的，由质量技术监督部门认定的检测机构检测,如为成交供应商原因造成的，由成交供应商承担检测费用；否则，由采购人承担。</w:t>
      </w:r>
    </w:p>
    <w:p>
      <w:pPr>
        <w:pStyle w:val="36"/>
        <w:ind w:left="0" w:leftChars="0"/>
        <w:rPr>
          <w:rFonts w:ascii="宋体" w:hAnsi="宋体" w:cs="宋体"/>
          <w:color w:val="auto"/>
          <w:szCs w:val="21"/>
          <w:highlight w:val="none"/>
        </w:rPr>
      </w:pPr>
      <w:r>
        <w:rPr>
          <w:rFonts w:hint="eastAsia" w:ascii="宋体" w:hAnsi="宋体" w:cs="宋体"/>
          <w:color w:val="auto"/>
          <w:szCs w:val="21"/>
          <w:highlight w:val="none"/>
        </w:rPr>
        <w:t>3、项目验收不合格，由成交供应商返工直至合格，有关返工、再行验收，以及给采购人造成的损失等费用由成交供应商承担。连续两次项目验收不合格的，采购人可终止合同，另行按规定选择其他供应商采购，由此带来的一切损失由成交供应商承担。</w:t>
      </w:r>
    </w:p>
    <w:p>
      <w:pPr>
        <w:spacing w:line="360" w:lineRule="auto"/>
        <w:rPr>
          <w:del w:id="234" w:author="哪吒" w:date="2024-07-15T17:28:00Z"/>
          <w:rFonts w:ascii="宋体" w:hAnsi="宋体"/>
          <w:b/>
          <w:color w:val="auto"/>
          <w:szCs w:val="21"/>
          <w:highlight w:val="none"/>
        </w:rPr>
      </w:pPr>
      <w:del w:id="235" w:author="哪吒" w:date="2024-07-15T17:28:00Z">
        <w:r>
          <w:rPr>
            <w:rFonts w:hint="eastAsia" w:ascii="宋体" w:hAnsi="宋体"/>
            <w:b/>
            <w:color w:val="auto"/>
            <w:szCs w:val="21"/>
            <w:highlight w:val="none"/>
          </w:rPr>
          <w:delText>六、项目结算方式</w:delText>
        </w:r>
      </w:del>
    </w:p>
    <w:p>
      <w:pPr>
        <w:pStyle w:val="36"/>
        <w:ind w:left="0" w:leftChars="0"/>
        <w:rPr>
          <w:del w:id="236" w:author="哪吒" w:date="2024-07-15T17:28:00Z"/>
          <w:rFonts w:ascii="宋体" w:hAnsi="宋体" w:cs="宋体"/>
          <w:color w:val="auto"/>
          <w:szCs w:val="21"/>
          <w:highlight w:val="none"/>
        </w:rPr>
      </w:pPr>
      <w:del w:id="237" w:author="哪吒" w:date="2024-07-15T17:28:00Z">
        <w:r>
          <w:rPr>
            <w:rFonts w:hint="eastAsia" w:ascii="宋体" w:hAnsi="宋体" w:cs="宋体"/>
            <w:color w:val="auto"/>
            <w:szCs w:val="21"/>
            <w:highlight w:val="none"/>
          </w:rPr>
          <w:delText>1、付款人</w:delText>
        </w:r>
      </w:del>
      <w:del w:id="238" w:author="哪吒" w:date="2024-07-15T17:28:00Z">
        <w:r>
          <w:rPr>
            <w:rFonts w:ascii="宋体" w:hAnsi="宋体" w:cs="宋体"/>
            <w:color w:val="auto"/>
            <w:szCs w:val="21"/>
            <w:highlight w:val="none"/>
          </w:rPr>
          <w:delText>：</w:delText>
        </w:r>
      </w:del>
      <w:del w:id="239" w:author="哪吒" w:date="2024-07-15T17:28:00Z">
        <w:r>
          <w:rPr>
            <w:rFonts w:hint="eastAsia" w:ascii="宋体" w:hAnsi="宋体"/>
            <w:color w:val="auto"/>
            <w:szCs w:val="21"/>
            <w:highlight w:val="none"/>
          </w:rPr>
          <w:delText>湖南省粮油食品进出口集团有限公司</w:delText>
        </w:r>
      </w:del>
    </w:p>
    <w:p>
      <w:pPr>
        <w:pStyle w:val="36"/>
        <w:ind w:left="0" w:leftChars="0"/>
        <w:rPr>
          <w:del w:id="240" w:author="哪吒" w:date="2024-07-15T17:28:00Z"/>
          <w:rFonts w:ascii="宋体" w:hAnsi="宋体" w:cs="宋体"/>
          <w:color w:val="auto"/>
          <w:szCs w:val="21"/>
          <w:highlight w:val="none"/>
        </w:rPr>
      </w:pPr>
      <w:del w:id="241" w:author="哪吒" w:date="2024-07-15T17:28:00Z">
        <w:r>
          <w:rPr>
            <w:rFonts w:hint="eastAsia" w:ascii="宋体" w:hAnsi="宋体" w:cs="宋体"/>
            <w:color w:val="auto"/>
            <w:szCs w:val="21"/>
            <w:highlight w:val="none"/>
          </w:rPr>
          <w:delText>2、付款方式</w:delText>
        </w:r>
      </w:del>
      <w:del w:id="242" w:author="哪吒" w:date="2024-07-15T17:28:00Z">
        <w:r>
          <w:rPr>
            <w:rFonts w:ascii="宋体" w:hAnsi="宋体" w:cs="宋体"/>
            <w:color w:val="auto"/>
            <w:szCs w:val="21"/>
            <w:highlight w:val="none"/>
          </w:rPr>
          <w:delText>：</w:delText>
        </w:r>
      </w:del>
      <w:del w:id="243" w:author="哪吒" w:date="2024-07-15T17:28:00Z">
        <w:r>
          <w:rPr>
            <w:rFonts w:hint="eastAsia" w:ascii="宋体" w:hAnsi="宋体" w:cs="宋体"/>
            <w:color w:val="auto"/>
            <w:szCs w:val="21"/>
            <w:highlight w:val="none"/>
          </w:rPr>
          <w:delText>项目验收合格后凭用户的验收证明单，乙方出具的相关票据20个工作日内支付合同总额的95%；验收之日起系统正常运行3个月后支付合同金额的5%，</w:delText>
        </w:r>
      </w:del>
      <w:del w:id="244" w:author="哪吒" w:date="2024-07-15T17:28:00Z">
        <w:r>
          <w:rPr>
            <w:rFonts w:hint="eastAsia" w:ascii="宋体" w:hAnsi="宋体"/>
            <w:bCs/>
            <w:color w:val="auto"/>
            <w:szCs w:val="21"/>
            <w:highlight w:val="none"/>
          </w:rPr>
          <w:delText>但并不免除成交供应商剩余质保期的责任。</w:delText>
        </w:r>
      </w:del>
    </w:p>
    <w:p>
      <w:pPr>
        <w:spacing w:line="360" w:lineRule="auto"/>
        <w:rPr>
          <w:rFonts w:ascii="宋体" w:hAnsi="宋体"/>
          <w:b/>
          <w:color w:val="auto"/>
          <w:szCs w:val="21"/>
          <w:highlight w:val="none"/>
        </w:rPr>
      </w:pPr>
      <w:del w:id="245" w:author="哪吒" w:date="2024-07-15T17:36:00Z">
        <w:r>
          <w:rPr>
            <w:rFonts w:ascii="宋体" w:hAnsi="宋体"/>
            <w:b/>
            <w:color w:val="auto"/>
            <w:szCs w:val="21"/>
            <w:highlight w:val="none"/>
          </w:rPr>
          <w:delText>七</w:delText>
        </w:r>
      </w:del>
      <w:ins w:id="246" w:author="哪吒" w:date="2024-07-15T17:36:00Z">
        <w:r>
          <w:rPr>
            <w:rFonts w:hint="eastAsia" w:ascii="宋体" w:hAnsi="宋体"/>
            <w:b/>
            <w:color w:val="auto"/>
            <w:szCs w:val="21"/>
            <w:highlight w:val="none"/>
          </w:rPr>
          <w:t>六</w:t>
        </w:r>
      </w:ins>
      <w:r>
        <w:rPr>
          <w:rFonts w:hint="eastAsia" w:ascii="宋体" w:hAnsi="宋体"/>
          <w:b/>
          <w:color w:val="auto"/>
          <w:szCs w:val="21"/>
          <w:highlight w:val="none"/>
        </w:rPr>
        <w:t>、项目其他要求</w:t>
      </w:r>
    </w:p>
    <w:p>
      <w:pPr>
        <w:pStyle w:val="36"/>
        <w:ind w:left="0" w:leftChars="0"/>
        <w:rPr>
          <w:rFonts w:ascii="宋体" w:hAnsi="宋体" w:cs="宋体"/>
          <w:color w:val="auto"/>
          <w:szCs w:val="21"/>
          <w:highlight w:val="none"/>
        </w:rPr>
      </w:pPr>
      <w:r>
        <w:rPr>
          <w:rFonts w:hint="eastAsia" w:ascii="宋体" w:hAnsi="宋体" w:cs="宋体"/>
          <w:color w:val="auto"/>
          <w:szCs w:val="21"/>
          <w:highlight w:val="none"/>
        </w:rPr>
        <w:t>1、为了保证产品的供货渠道及质量保障，合同签订后项目验收前成交供应商须提供由原厂出具的供货证明及售后服务承诺书原件，否则采购人有权终止合同。</w:t>
      </w:r>
    </w:p>
    <w:p>
      <w:pPr>
        <w:pStyle w:val="36"/>
        <w:ind w:left="0" w:leftChars="0"/>
        <w:rPr>
          <w:rFonts w:ascii="宋体" w:hAnsi="宋体" w:cs="宋体"/>
          <w:color w:val="auto"/>
          <w:szCs w:val="21"/>
          <w:highlight w:val="none"/>
        </w:rPr>
      </w:pPr>
      <w:r>
        <w:rPr>
          <w:rFonts w:hint="eastAsia" w:ascii="宋体" w:hAnsi="宋体" w:cs="宋体"/>
          <w:color w:val="auto"/>
          <w:szCs w:val="21"/>
          <w:highlight w:val="none"/>
        </w:rPr>
        <w:t>2、本项目采用费用包干方式建设，投标人应根据项目要求及需要，详细列明项目所需的所有费用，应包括完成合同范围的全部工作内容所发生的全部费用（人工、管理、财务、培训、后续服务等所有费用），如一旦中标，在项目实施中出现任何遗漏，均由成交供应商免费提供，采购人不再支付任何费用。</w:t>
      </w:r>
    </w:p>
    <w:p>
      <w:pPr>
        <w:pStyle w:val="36"/>
        <w:ind w:left="0" w:leftChars="0"/>
        <w:rPr>
          <w:rFonts w:ascii="宋体" w:hAnsi="宋体" w:cs="宋体"/>
          <w:color w:val="auto"/>
          <w:szCs w:val="21"/>
          <w:highlight w:val="none"/>
        </w:rPr>
      </w:pPr>
      <w:r>
        <w:rPr>
          <w:rFonts w:hint="eastAsia" w:ascii="宋体" w:hAnsi="宋体" w:cs="宋体"/>
          <w:color w:val="auto"/>
          <w:szCs w:val="21"/>
          <w:highlight w:val="none"/>
        </w:rPr>
        <w:t>3、对于上述项目要求，投标人应在投标文件中进行回应，做出承诺及说明。</w:t>
      </w:r>
    </w:p>
    <w:p>
      <w:pPr>
        <w:widowControl/>
        <w:jc w:val="left"/>
        <w:rPr>
          <w:rFonts w:ascii="宋体" w:hAnsi="宋体"/>
          <w:color w:val="auto"/>
          <w:sz w:val="32"/>
          <w:szCs w:val="32"/>
          <w:highlight w:val="none"/>
        </w:rPr>
      </w:pPr>
      <w:bookmarkStart w:id="31" w:name="_Toc106890515"/>
      <w:r>
        <w:rPr>
          <w:rFonts w:ascii="宋体" w:hAnsi="宋体"/>
          <w:color w:val="auto"/>
          <w:sz w:val="32"/>
          <w:szCs w:val="32"/>
          <w:highlight w:val="none"/>
        </w:rPr>
        <w:br w:type="page"/>
      </w:r>
    </w:p>
    <w:p>
      <w:pPr>
        <w:pStyle w:val="2"/>
        <w:adjustRightInd w:val="0"/>
        <w:snapToGrid w:val="0"/>
        <w:spacing w:before="120" w:beforeLines="50" w:line="360" w:lineRule="auto"/>
        <w:jc w:val="center"/>
        <w:rPr>
          <w:rFonts w:ascii="宋体" w:hAnsi="宋体"/>
          <w:color w:val="auto"/>
          <w:sz w:val="32"/>
          <w:szCs w:val="32"/>
          <w:highlight w:val="none"/>
        </w:rPr>
      </w:pPr>
      <w:r>
        <w:rPr>
          <w:rFonts w:hint="eastAsia" w:ascii="宋体" w:hAnsi="宋体"/>
          <w:color w:val="auto"/>
          <w:sz w:val="32"/>
          <w:szCs w:val="32"/>
          <w:highlight w:val="none"/>
        </w:rPr>
        <w:t>第四章 合同草案条款</w:t>
      </w:r>
      <w:bookmarkEnd w:id="31"/>
    </w:p>
    <w:p>
      <w:pPr>
        <w:pStyle w:val="3"/>
        <w:adjustRightInd w:val="0"/>
        <w:snapToGrid w:val="0"/>
        <w:spacing w:before="120" w:beforeLines="50"/>
        <w:jc w:val="center"/>
        <w:rPr>
          <w:rFonts w:ascii="宋体" w:hAnsi="宋体"/>
          <w:color w:val="auto"/>
          <w:sz w:val="28"/>
          <w:szCs w:val="28"/>
          <w:highlight w:val="none"/>
        </w:rPr>
      </w:pPr>
      <w:bookmarkStart w:id="32" w:name="_Toc106890516"/>
      <w:bookmarkStart w:id="33" w:name="_Toc22201110"/>
      <w:r>
        <w:rPr>
          <w:rFonts w:hint="eastAsia" w:ascii="宋体" w:hAnsi="宋体"/>
          <w:color w:val="auto"/>
          <w:sz w:val="28"/>
          <w:szCs w:val="28"/>
          <w:highlight w:val="none"/>
        </w:rPr>
        <w:t>第一节 合同协议书</w:t>
      </w:r>
      <w:bookmarkEnd w:id="32"/>
      <w:bookmarkEnd w:id="33"/>
    </w:p>
    <w:p>
      <w:pPr>
        <w:pStyle w:val="3"/>
        <w:adjustRightInd w:val="0"/>
        <w:snapToGrid w:val="0"/>
        <w:spacing w:before="120" w:beforeLines="50"/>
        <w:jc w:val="center"/>
        <w:rPr>
          <w:rFonts w:ascii="宋体" w:hAnsi="宋体"/>
          <w:color w:val="auto"/>
          <w:sz w:val="28"/>
          <w:szCs w:val="28"/>
          <w:highlight w:val="none"/>
        </w:rPr>
      </w:pPr>
      <w:r>
        <w:rPr>
          <w:rFonts w:hint="eastAsia" w:ascii="宋体" w:hAnsi="宋体"/>
          <w:color w:val="auto"/>
          <w:sz w:val="28"/>
          <w:szCs w:val="28"/>
          <w:highlight w:val="none"/>
        </w:rPr>
        <w:t>（最终签约版本由采购人提供）</w:t>
      </w:r>
    </w:p>
    <w:p>
      <w:pPr>
        <w:adjustRightInd w:val="0"/>
        <w:snapToGrid w:val="0"/>
        <w:spacing w:before="120" w:beforeLines="50" w:line="360" w:lineRule="auto"/>
        <w:ind w:firstLine="5460" w:firstLineChars="2600"/>
        <w:rPr>
          <w:rFonts w:ascii="宋体" w:hAnsi="宋体"/>
          <w:b/>
          <w:color w:val="auto"/>
          <w:szCs w:val="21"/>
          <w:highlight w:val="none"/>
        </w:rPr>
      </w:pPr>
      <w:r>
        <w:rPr>
          <w:rFonts w:hint="eastAsia" w:ascii="宋体" w:hAnsi="宋体"/>
          <w:color w:val="auto"/>
          <w:szCs w:val="21"/>
          <w:highlight w:val="none"/>
        </w:rPr>
        <w:t>采购合同编号：</w:t>
      </w:r>
      <w:r>
        <w:rPr>
          <w:rFonts w:ascii="宋体" w:hAnsi="宋体"/>
          <w:color w:val="auto"/>
          <w:szCs w:val="21"/>
          <w:highlight w:val="none"/>
          <w:u w:val="single"/>
        </w:rPr>
        <w:t xml:space="preserve">                 </w:t>
      </w:r>
    </w:p>
    <w:p>
      <w:pPr>
        <w:adjustRightInd w:val="0"/>
        <w:snapToGrid w:val="0"/>
        <w:spacing w:before="120" w:beforeLines="50" w:line="276" w:lineRule="auto"/>
        <w:rPr>
          <w:rFonts w:ascii="宋体" w:hAnsi="宋体"/>
          <w:color w:val="auto"/>
          <w:szCs w:val="21"/>
          <w:highlight w:val="none"/>
        </w:rPr>
      </w:pPr>
      <w:r>
        <w:rPr>
          <w:rFonts w:hint="eastAsia" w:ascii="宋体" w:hAnsi="宋体"/>
          <w:color w:val="auto"/>
          <w:szCs w:val="21"/>
          <w:highlight w:val="none"/>
        </w:rPr>
        <w:t>采购人（全称）：</w:t>
      </w:r>
      <w:r>
        <w:rPr>
          <w:rFonts w:hint="eastAsia" w:ascii="宋体" w:hAnsi="宋体"/>
          <w:color w:val="auto"/>
          <w:szCs w:val="21"/>
          <w:highlight w:val="none"/>
          <w:u w:val="single"/>
        </w:rPr>
        <w:t xml:space="preserve">                             </w:t>
      </w:r>
      <w:r>
        <w:rPr>
          <w:rFonts w:hint="eastAsia" w:ascii="宋体" w:hAnsi="宋体"/>
          <w:color w:val="auto"/>
          <w:szCs w:val="21"/>
          <w:highlight w:val="none"/>
        </w:rPr>
        <w:t>（甲方）</w:t>
      </w:r>
    </w:p>
    <w:p>
      <w:pPr>
        <w:adjustRightInd w:val="0"/>
        <w:snapToGrid w:val="0"/>
        <w:spacing w:before="120" w:beforeLines="50" w:line="276" w:lineRule="auto"/>
        <w:rPr>
          <w:rFonts w:ascii="宋体" w:hAnsi="宋体"/>
          <w:color w:val="auto"/>
          <w:szCs w:val="21"/>
          <w:highlight w:val="none"/>
        </w:rPr>
      </w:pPr>
      <w:r>
        <w:rPr>
          <w:rFonts w:hint="eastAsia" w:ascii="宋体" w:hAnsi="宋体"/>
          <w:color w:val="auto"/>
          <w:szCs w:val="21"/>
          <w:highlight w:val="none"/>
        </w:rPr>
        <w:t>供应商（全称）：</w:t>
      </w:r>
      <w:r>
        <w:rPr>
          <w:rFonts w:hint="eastAsia" w:ascii="宋体" w:hAnsi="宋体"/>
          <w:color w:val="auto"/>
          <w:szCs w:val="21"/>
          <w:highlight w:val="none"/>
          <w:u w:val="single"/>
        </w:rPr>
        <w:t xml:space="preserve">                             </w:t>
      </w:r>
      <w:r>
        <w:rPr>
          <w:rFonts w:hint="eastAsia" w:ascii="宋体" w:hAnsi="宋体"/>
          <w:color w:val="auto"/>
          <w:szCs w:val="21"/>
          <w:highlight w:val="none"/>
        </w:rPr>
        <w:t>（乙方）</w:t>
      </w:r>
    </w:p>
    <w:p>
      <w:pPr>
        <w:adjustRightInd w:val="0"/>
        <w:snapToGrid w:val="0"/>
        <w:spacing w:before="120" w:beforeLines="50" w:line="276" w:lineRule="auto"/>
        <w:ind w:firstLine="420" w:firstLineChars="200"/>
        <w:rPr>
          <w:rFonts w:ascii="宋体" w:hAnsi="宋体"/>
          <w:color w:val="auto"/>
          <w:szCs w:val="21"/>
          <w:highlight w:val="none"/>
        </w:rPr>
      </w:pPr>
      <w:r>
        <w:rPr>
          <w:rFonts w:hint="eastAsia" w:ascii="宋体" w:hAnsi="宋体"/>
          <w:color w:val="auto"/>
          <w:szCs w:val="21"/>
          <w:highlight w:val="none"/>
        </w:rPr>
        <w:t>为了保护甲、乙双方合法权益，根据《中华人民共和国民法典》、《中华人民共和国招标投标法》、《中华人民共和国招标投标法实施条例》及其他有关法律、法规、规章，双方签订本合同协议书。</w:t>
      </w:r>
    </w:p>
    <w:p>
      <w:pPr>
        <w:keepNext/>
        <w:keepLines/>
        <w:adjustRightInd w:val="0"/>
        <w:snapToGrid w:val="0"/>
        <w:spacing w:before="50" w:line="276" w:lineRule="auto"/>
        <w:outlineLvl w:val="2"/>
        <w:rPr>
          <w:rFonts w:ascii="黑体" w:hAnsi="黑体" w:eastAsia="黑体"/>
          <w:b/>
          <w:bCs/>
          <w:color w:val="auto"/>
          <w:sz w:val="24"/>
          <w:highlight w:val="none"/>
        </w:rPr>
      </w:pPr>
      <w:bookmarkStart w:id="34" w:name="_Toc106890517"/>
      <w:bookmarkStart w:id="35" w:name="_Toc75793748"/>
      <w:r>
        <w:rPr>
          <w:rFonts w:hint="eastAsia" w:ascii="黑体" w:hAnsi="黑体" w:eastAsia="黑体"/>
          <w:b/>
          <w:bCs/>
          <w:color w:val="auto"/>
          <w:sz w:val="24"/>
          <w:highlight w:val="none"/>
        </w:rPr>
        <w:t>1.项目信息</w:t>
      </w:r>
      <w:bookmarkEnd w:id="34"/>
      <w:bookmarkEnd w:id="35"/>
    </w:p>
    <w:p>
      <w:pPr>
        <w:adjustRightInd w:val="0"/>
        <w:snapToGrid w:val="0"/>
        <w:spacing w:before="120" w:beforeLines="50" w:line="276" w:lineRule="auto"/>
        <w:ind w:left="420" w:leftChars="200"/>
        <w:rPr>
          <w:rFonts w:ascii="宋体" w:hAnsi="宋体"/>
          <w:color w:val="auto"/>
          <w:szCs w:val="21"/>
          <w:highlight w:val="none"/>
        </w:rPr>
      </w:pPr>
      <w:r>
        <w:rPr>
          <w:rFonts w:hint="eastAsia" w:ascii="宋体" w:hAnsi="宋体"/>
          <w:color w:val="auto"/>
          <w:szCs w:val="21"/>
          <w:highlight w:val="none"/>
        </w:rPr>
        <w:t>（1）采购项目名称：</w:t>
      </w:r>
      <w:r>
        <w:rPr>
          <w:rFonts w:ascii="宋体" w:hAnsi="宋体"/>
          <w:color w:val="auto"/>
          <w:szCs w:val="21"/>
          <w:highlight w:val="none"/>
          <w:u w:val="single"/>
        </w:rPr>
        <w:t xml:space="preserve">                                          </w:t>
      </w:r>
    </w:p>
    <w:p>
      <w:pPr>
        <w:adjustRightInd w:val="0"/>
        <w:snapToGrid w:val="0"/>
        <w:spacing w:before="120" w:beforeLines="50" w:line="276" w:lineRule="auto"/>
        <w:ind w:left="420" w:leftChars="200"/>
        <w:rPr>
          <w:rFonts w:ascii="宋体" w:hAnsi="宋体"/>
          <w:color w:val="auto"/>
          <w:szCs w:val="21"/>
          <w:highlight w:val="none"/>
        </w:rPr>
      </w:pPr>
      <w:r>
        <w:rPr>
          <w:rFonts w:hint="eastAsia" w:ascii="宋体" w:hAnsi="宋体"/>
          <w:color w:val="auto"/>
          <w:szCs w:val="21"/>
          <w:highlight w:val="none"/>
        </w:rPr>
        <w:t>（2）采购计划编号：</w:t>
      </w:r>
      <w:r>
        <w:rPr>
          <w:rFonts w:ascii="宋体" w:hAnsi="宋体"/>
          <w:color w:val="auto"/>
          <w:szCs w:val="21"/>
          <w:highlight w:val="none"/>
          <w:u w:val="single"/>
        </w:rPr>
        <w:t xml:space="preserve">                          </w:t>
      </w:r>
      <w:r>
        <w:rPr>
          <w:rFonts w:ascii="宋体" w:hAnsi="宋体"/>
          <w:color w:val="auto"/>
          <w:szCs w:val="21"/>
          <w:highlight w:val="none"/>
        </w:rPr>
        <w:t xml:space="preserve"> </w:t>
      </w:r>
    </w:p>
    <w:p>
      <w:pPr>
        <w:adjustRightInd w:val="0"/>
        <w:snapToGrid w:val="0"/>
        <w:spacing w:before="120" w:beforeLines="50" w:line="276" w:lineRule="auto"/>
        <w:ind w:firstLine="420" w:firstLineChars="200"/>
        <w:rPr>
          <w:rFonts w:ascii="宋体" w:hAnsi="宋体"/>
          <w:color w:val="auto"/>
          <w:szCs w:val="21"/>
          <w:highlight w:val="none"/>
        </w:rPr>
      </w:pPr>
      <w:r>
        <w:rPr>
          <w:rFonts w:hint="eastAsia" w:ascii="宋体" w:hAnsi="宋体"/>
          <w:color w:val="auto"/>
          <w:szCs w:val="21"/>
          <w:highlight w:val="none"/>
        </w:rPr>
        <w:t>（3）项目内容：</w:t>
      </w:r>
      <w:r>
        <w:rPr>
          <w:rFonts w:hint="eastAsia" w:ascii="宋体" w:hAnsi="宋体"/>
          <w:color w:val="auto"/>
          <w:szCs w:val="21"/>
          <w:highlight w:val="none"/>
          <w:u w:val="single"/>
        </w:rPr>
        <w:t xml:space="preserve">                             </w:t>
      </w:r>
    </w:p>
    <w:p>
      <w:pPr>
        <w:adjustRightInd w:val="0"/>
        <w:snapToGrid w:val="0"/>
        <w:spacing w:before="120" w:beforeLines="50" w:line="276" w:lineRule="auto"/>
        <w:ind w:firstLine="420" w:firstLineChars="200"/>
        <w:rPr>
          <w:rFonts w:ascii="宋体" w:hAnsi="宋体"/>
          <w:color w:val="auto"/>
          <w:szCs w:val="21"/>
          <w:highlight w:val="none"/>
        </w:rPr>
      </w:pPr>
      <w:r>
        <w:rPr>
          <w:rFonts w:hint="eastAsia" w:ascii="宋体" w:hAnsi="宋体"/>
          <w:color w:val="auto"/>
          <w:szCs w:val="21"/>
          <w:highlight w:val="none"/>
        </w:rPr>
        <w:t>（4）项目负责人：</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keepNext/>
        <w:keepLines/>
        <w:adjustRightInd w:val="0"/>
        <w:snapToGrid w:val="0"/>
        <w:spacing w:before="50" w:line="276" w:lineRule="auto"/>
        <w:outlineLvl w:val="2"/>
        <w:rPr>
          <w:rFonts w:ascii="黑体" w:hAnsi="黑体" w:eastAsia="黑体"/>
          <w:b/>
          <w:bCs/>
          <w:color w:val="auto"/>
          <w:sz w:val="24"/>
          <w:highlight w:val="none"/>
        </w:rPr>
      </w:pPr>
      <w:bookmarkStart w:id="36" w:name="_Toc75793749"/>
      <w:bookmarkStart w:id="37" w:name="_Toc106890518"/>
      <w:r>
        <w:rPr>
          <w:rFonts w:hint="eastAsia" w:ascii="黑体" w:hAnsi="黑体" w:eastAsia="黑体"/>
          <w:b/>
          <w:bCs/>
          <w:color w:val="auto"/>
          <w:sz w:val="24"/>
          <w:highlight w:val="none"/>
        </w:rPr>
        <w:t>2.合同金额</w:t>
      </w:r>
      <w:bookmarkEnd w:id="36"/>
      <w:bookmarkEnd w:id="37"/>
    </w:p>
    <w:p>
      <w:pPr>
        <w:adjustRightInd w:val="0"/>
        <w:snapToGrid w:val="0"/>
        <w:spacing w:before="120" w:beforeLines="50" w:line="276" w:lineRule="auto"/>
        <w:ind w:firstLine="420" w:firstLineChars="200"/>
        <w:rPr>
          <w:rFonts w:ascii="宋体" w:hAnsi="宋体"/>
          <w:color w:val="auto"/>
          <w:szCs w:val="21"/>
          <w:highlight w:val="none"/>
        </w:rPr>
      </w:pPr>
      <w:r>
        <w:rPr>
          <w:rFonts w:hint="eastAsia" w:ascii="宋体" w:hAnsi="宋体"/>
          <w:color w:val="auto"/>
          <w:szCs w:val="21"/>
          <w:highlight w:val="none"/>
        </w:rPr>
        <w:t>（1）合同金额小写：</w:t>
      </w:r>
      <w:r>
        <w:rPr>
          <w:rFonts w:hint="eastAsia" w:ascii="宋体" w:hAnsi="宋体"/>
          <w:color w:val="auto"/>
          <w:szCs w:val="21"/>
          <w:highlight w:val="none"/>
          <w:u w:val="single"/>
        </w:rPr>
        <w:t xml:space="preserve">                      </w:t>
      </w:r>
    </w:p>
    <w:p>
      <w:pPr>
        <w:adjustRightInd w:val="0"/>
        <w:snapToGrid w:val="0"/>
        <w:spacing w:before="120" w:beforeLines="50" w:line="276" w:lineRule="auto"/>
        <w:ind w:firstLine="1260" w:firstLineChars="600"/>
        <w:rPr>
          <w:rFonts w:ascii="宋体" w:hAnsi="宋体"/>
          <w:b/>
          <w:color w:val="auto"/>
          <w:szCs w:val="21"/>
          <w:highlight w:val="none"/>
        </w:rPr>
      </w:pPr>
      <w:r>
        <w:rPr>
          <w:rFonts w:hint="eastAsia" w:ascii="宋体" w:hAnsi="宋体"/>
          <w:color w:val="auto"/>
          <w:szCs w:val="21"/>
          <w:highlight w:val="none"/>
        </w:rPr>
        <w:t>大写：</w:t>
      </w:r>
      <w:r>
        <w:rPr>
          <w:rFonts w:hint="eastAsia" w:ascii="宋体" w:hAnsi="宋体"/>
          <w:color w:val="auto"/>
          <w:szCs w:val="21"/>
          <w:highlight w:val="none"/>
          <w:u w:val="single"/>
        </w:rPr>
        <w:t xml:space="preserve">                      </w:t>
      </w:r>
    </w:p>
    <w:p>
      <w:pPr>
        <w:adjustRightInd w:val="0"/>
        <w:snapToGrid w:val="0"/>
        <w:spacing w:before="120" w:beforeLines="50" w:line="276" w:lineRule="auto"/>
        <w:ind w:firstLine="420" w:firstLineChars="200"/>
        <w:rPr>
          <w:rFonts w:ascii="宋体" w:hAnsi="宋体"/>
          <w:color w:val="auto"/>
          <w:szCs w:val="21"/>
          <w:highlight w:val="none"/>
        </w:rPr>
      </w:pPr>
      <w:r>
        <w:rPr>
          <w:rFonts w:hint="eastAsia" w:ascii="宋体" w:hAnsi="宋体"/>
          <w:color w:val="auto"/>
          <w:szCs w:val="21"/>
          <w:highlight w:val="none"/>
        </w:rPr>
        <w:t>（2）具体标的见附件。</w:t>
      </w:r>
    </w:p>
    <w:p>
      <w:pPr>
        <w:adjustRightInd w:val="0"/>
        <w:snapToGrid w:val="0"/>
        <w:spacing w:before="120" w:beforeLines="50" w:line="276" w:lineRule="auto"/>
        <w:ind w:firstLine="420" w:firstLineChars="200"/>
        <w:rPr>
          <w:rFonts w:ascii="宋体" w:hAnsi="宋体"/>
          <w:color w:val="auto"/>
          <w:szCs w:val="21"/>
          <w:highlight w:val="none"/>
        </w:rPr>
      </w:pPr>
      <w:r>
        <w:rPr>
          <w:rFonts w:hint="eastAsia" w:ascii="宋体" w:hAnsi="宋体"/>
          <w:color w:val="auto"/>
          <w:szCs w:val="21"/>
          <w:highlight w:val="none"/>
        </w:rPr>
        <w:t>（3）合同价格形式：</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keepNext/>
        <w:keepLines/>
        <w:adjustRightInd w:val="0"/>
        <w:snapToGrid w:val="0"/>
        <w:spacing w:before="50" w:line="276" w:lineRule="auto"/>
        <w:outlineLvl w:val="2"/>
        <w:rPr>
          <w:rFonts w:ascii="黑体" w:hAnsi="黑体" w:eastAsia="黑体"/>
          <w:b/>
          <w:bCs/>
          <w:color w:val="auto"/>
          <w:sz w:val="24"/>
          <w:highlight w:val="none"/>
          <w:u w:val="single"/>
        </w:rPr>
      </w:pPr>
      <w:bookmarkStart w:id="38" w:name="_Toc106890519"/>
      <w:bookmarkStart w:id="39" w:name="_Toc75793750"/>
      <w:r>
        <w:rPr>
          <w:rFonts w:hint="eastAsia" w:ascii="黑体" w:hAnsi="黑体" w:eastAsia="黑体"/>
          <w:b/>
          <w:bCs/>
          <w:color w:val="auto"/>
          <w:sz w:val="24"/>
          <w:highlight w:val="none"/>
        </w:rPr>
        <w:t>3.履行合同的时间、地点及方式</w:t>
      </w:r>
      <w:bookmarkEnd w:id="38"/>
      <w:bookmarkEnd w:id="39"/>
    </w:p>
    <w:p>
      <w:pPr>
        <w:adjustRightInd w:val="0"/>
        <w:snapToGrid w:val="0"/>
        <w:spacing w:before="120" w:beforeLines="50" w:line="276" w:lineRule="auto"/>
        <w:ind w:firstLine="630" w:firstLineChars="300"/>
        <w:rPr>
          <w:rFonts w:ascii="宋体" w:hAnsi="宋体"/>
          <w:color w:val="auto"/>
          <w:szCs w:val="21"/>
          <w:highlight w:val="none"/>
        </w:rPr>
      </w:pPr>
      <w:r>
        <w:rPr>
          <w:rFonts w:hint="eastAsia" w:ascii="宋体" w:hAnsi="宋体"/>
          <w:color w:val="auto"/>
          <w:szCs w:val="21"/>
          <w:highlight w:val="none"/>
        </w:rPr>
        <w:t>起始日期：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日，完成日期：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日。总日历天数：</w:t>
      </w:r>
      <w:r>
        <w:rPr>
          <w:rFonts w:hint="eastAsia" w:ascii="宋体" w:hAnsi="宋体"/>
          <w:color w:val="auto"/>
          <w:szCs w:val="21"/>
          <w:highlight w:val="none"/>
          <w:u w:val="single"/>
        </w:rPr>
        <w:t xml:space="preserve">     </w:t>
      </w:r>
      <w:r>
        <w:rPr>
          <w:rFonts w:hint="eastAsia" w:ascii="宋体" w:hAnsi="宋体"/>
          <w:color w:val="auto"/>
          <w:szCs w:val="21"/>
          <w:highlight w:val="none"/>
        </w:rPr>
        <w:t>天。</w:t>
      </w:r>
    </w:p>
    <w:p>
      <w:pPr>
        <w:adjustRightInd w:val="0"/>
        <w:snapToGrid w:val="0"/>
        <w:spacing w:before="120" w:beforeLines="50" w:line="276" w:lineRule="auto"/>
        <w:ind w:firstLine="630" w:firstLineChars="300"/>
        <w:rPr>
          <w:rFonts w:ascii="宋体" w:hAnsi="宋体"/>
          <w:color w:val="auto"/>
          <w:szCs w:val="21"/>
          <w:highlight w:val="none"/>
          <w:u w:val="single"/>
        </w:rPr>
      </w:pPr>
      <w:r>
        <w:rPr>
          <w:rFonts w:hint="eastAsia" w:ascii="宋体" w:hAnsi="宋体"/>
          <w:color w:val="auto"/>
          <w:szCs w:val="21"/>
          <w:highlight w:val="none"/>
        </w:rPr>
        <w:t>地点</w:t>
      </w:r>
      <w:r>
        <w:rPr>
          <w:rFonts w:hint="eastAsia" w:ascii="宋体" w:hAnsi="宋体"/>
          <w:b/>
          <w:color w:val="auto"/>
          <w:szCs w:val="21"/>
          <w:highlight w:val="none"/>
        </w:rPr>
        <w:t>：</w:t>
      </w:r>
      <w:r>
        <w:rPr>
          <w:rFonts w:hint="eastAsia" w:ascii="宋体" w:hAnsi="宋体"/>
          <w:color w:val="auto"/>
          <w:szCs w:val="21"/>
          <w:highlight w:val="none"/>
          <w:u w:val="single"/>
        </w:rPr>
        <w:t xml:space="preserve">                             </w:t>
      </w:r>
    </w:p>
    <w:p>
      <w:pPr>
        <w:adjustRightInd w:val="0"/>
        <w:snapToGrid w:val="0"/>
        <w:spacing w:before="120" w:beforeLines="50" w:line="276" w:lineRule="auto"/>
        <w:ind w:firstLine="630" w:firstLineChars="300"/>
        <w:rPr>
          <w:rFonts w:ascii="宋体" w:hAnsi="宋体"/>
          <w:color w:val="auto"/>
          <w:szCs w:val="21"/>
          <w:highlight w:val="none"/>
        </w:rPr>
      </w:pPr>
      <w:r>
        <w:rPr>
          <w:rFonts w:hint="eastAsia" w:ascii="宋体" w:hAnsi="宋体"/>
          <w:color w:val="auto"/>
          <w:szCs w:val="21"/>
          <w:highlight w:val="none"/>
        </w:rPr>
        <w:t>方式：</w:t>
      </w:r>
      <w:r>
        <w:rPr>
          <w:rFonts w:hint="eastAsia" w:ascii="宋体" w:hAnsi="宋体"/>
          <w:color w:val="auto"/>
          <w:szCs w:val="21"/>
          <w:highlight w:val="none"/>
          <w:u w:val="single"/>
        </w:rPr>
        <w:t xml:space="preserve">                             </w:t>
      </w:r>
    </w:p>
    <w:p>
      <w:pPr>
        <w:keepNext/>
        <w:keepLines/>
        <w:adjustRightInd w:val="0"/>
        <w:snapToGrid w:val="0"/>
        <w:spacing w:before="50" w:line="276" w:lineRule="auto"/>
        <w:outlineLvl w:val="2"/>
        <w:rPr>
          <w:rFonts w:ascii="黑体" w:hAnsi="黑体" w:eastAsia="黑体"/>
          <w:b/>
          <w:bCs/>
          <w:color w:val="auto"/>
          <w:sz w:val="24"/>
          <w:highlight w:val="none"/>
        </w:rPr>
      </w:pPr>
      <w:bookmarkStart w:id="40" w:name="_Toc75793751"/>
      <w:bookmarkStart w:id="41" w:name="_Toc106890520"/>
      <w:r>
        <w:rPr>
          <w:rFonts w:hint="eastAsia" w:ascii="黑体" w:hAnsi="黑体" w:eastAsia="黑体"/>
          <w:b/>
          <w:bCs/>
          <w:color w:val="auto"/>
          <w:sz w:val="24"/>
          <w:highlight w:val="none"/>
        </w:rPr>
        <w:t>4.付款</w:t>
      </w:r>
      <w:bookmarkEnd w:id="40"/>
      <w:bookmarkEnd w:id="41"/>
    </w:p>
    <w:p>
      <w:pPr>
        <w:adjustRightInd w:val="0"/>
        <w:snapToGrid w:val="0"/>
        <w:spacing w:before="120" w:beforeLines="50" w:line="276" w:lineRule="auto"/>
        <w:ind w:firstLine="630" w:firstLineChars="300"/>
        <w:rPr>
          <w:rFonts w:ascii="宋体" w:hAnsi="宋体"/>
          <w:bCs/>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adjustRightInd w:val="0"/>
        <w:snapToGrid w:val="0"/>
        <w:spacing w:before="120" w:beforeLines="50" w:line="276" w:lineRule="auto"/>
        <w:ind w:firstLine="630" w:firstLineChars="300"/>
        <w:rPr>
          <w:rFonts w:ascii="宋体" w:hAnsi="宋体"/>
          <w:color w:val="auto"/>
          <w:szCs w:val="21"/>
          <w:highlight w:val="none"/>
        </w:rPr>
      </w:pPr>
      <w:r>
        <w:rPr>
          <w:rFonts w:hint="eastAsia" w:ascii="宋体" w:hAnsi="宋体"/>
          <w:bCs/>
          <w:color w:val="auto"/>
          <w:szCs w:val="21"/>
          <w:highlight w:val="none"/>
        </w:rPr>
        <w:t>2、预付款根据采购文件的约定，在合同签订前提交不超过合同金额10%的履约担保。</w:t>
      </w:r>
    </w:p>
    <w:p>
      <w:pPr>
        <w:keepNext/>
        <w:keepLines/>
        <w:adjustRightInd w:val="0"/>
        <w:snapToGrid w:val="0"/>
        <w:spacing w:before="50" w:line="276" w:lineRule="auto"/>
        <w:outlineLvl w:val="2"/>
        <w:rPr>
          <w:rFonts w:ascii="黑体" w:hAnsi="黑体" w:eastAsia="黑体"/>
          <w:b/>
          <w:bCs/>
          <w:color w:val="auto"/>
          <w:sz w:val="24"/>
          <w:highlight w:val="none"/>
        </w:rPr>
      </w:pPr>
      <w:bookmarkStart w:id="42" w:name="_Toc75793752"/>
      <w:bookmarkStart w:id="43" w:name="_Toc106890521"/>
      <w:r>
        <w:rPr>
          <w:rFonts w:hint="eastAsia" w:ascii="黑体" w:hAnsi="黑体" w:eastAsia="黑体"/>
          <w:b/>
          <w:bCs/>
          <w:color w:val="auto"/>
          <w:sz w:val="24"/>
          <w:highlight w:val="none"/>
        </w:rPr>
        <w:t>5.解决合同纠纷方式</w:t>
      </w:r>
      <w:bookmarkEnd w:id="42"/>
      <w:bookmarkEnd w:id="43"/>
    </w:p>
    <w:p>
      <w:pPr>
        <w:adjustRightInd w:val="0"/>
        <w:snapToGrid w:val="0"/>
        <w:spacing w:before="120" w:beforeLines="50" w:line="276" w:lineRule="auto"/>
        <w:ind w:firstLine="420" w:firstLineChars="200"/>
        <w:rPr>
          <w:rFonts w:ascii="宋体" w:hAnsi="宋体"/>
          <w:color w:val="auto"/>
          <w:szCs w:val="21"/>
          <w:highlight w:val="none"/>
        </w:rPr>
      </w:pPr>
      <w:r>
        <w:rPr>
          <w:rFonts w:hint="eastAsia" w:ascii="宋体" w:hAnsi="宋体"/>
          <w:color w:val="auto"/>
          <w:szCs w:val="21"/>
          <w:highlight w:val="none"/>
        </w:rPr>
        <w:t>首先通过双方协商解决，协商解决不成，则通过以下途径之一解决纠纷：</w:t>
      </w:r>
    </w:p>
    <w:p>
      <w:pPr>
        <w:adjustRightInd w:val="0"/>
        <w:snapToGrid w:val="0"/>
        <w:spacing w:before="120" w:beforeLines="50" w:line="276" w:lineRule="auto"/>
        <w:ind w:firstLine="840" w:firstLineChars="400"/>
        <w:rPr>
          <w:rFonts w:ascii="宋体" w:hAnsi="宋体"/>
          <w:color w:val="auto"/>
          <w:szCs w:val="21"/>
          <w:highlight w:val="none"/>
        </w:rPr>
      </w:pPr>
      <w:r>
        <w:rPr>
          <w:rFonts w:hint="eastAsia" w:ascii="宋体" w:hAnsi="宋体"/>
          <w:color w:val="auto"/>
          <w:szCs w:val="21"/>
          <w:highlight w:val="none"/>
        </w:rPr>
        <w:t>□ 提请仲裁       □ 向人民法院提起诉讼</w:t>
      </w:r>
    </w:p>
    <w:p>
      <w:pPr>
        <w:keepNext/>
        <w:keepLines/>
        <w:adjustRightInd w:val="0"/>
        <w:snapToGrid w:val="0"/>
        <w:spacing w:before="50" w:line="276" w:lineRule="auto"/>
        <w:outlineLvl w:val="2"/>
        <w:rPr>
          <w:rFonts w:ascii="黑体" w:hAnsi="黑体" w:eastAsia="黑体"/>
          <w:b/>
          <w:bCs/>
          <w:color w:val="auto"/>
          <w:sz w:val="24"/>
          <w:highlight w:val="none"/>
        </w:rPr>
      </w:pPr>
      <w:bookmarkStart w:id="44" w:name="_Toc106890522"/>
      <w:bookmarkStart w:id="45" w:name="_Toc75793753"/>
      <w:r>
        <w:rPr>
          <w:rFonts w:hint="eastAsia" w:ascii="黑体" w:hAnsi="黑体" w:eastAsia="黑体"/>
          <w:b/>
          <w:bCs/>
          <w:color w:val="auto"/>
          <w:sz w:val="24"/>
          <w:highlight w:val="none"/>
        </w:rPr>
        <w:t>6.组成合同的文件</w:t>
      </w:r>
      <w:bookmarkEnd w:id="44"/>
      <w:bookmarkEnd w:id="45"/>
    </w:p>
    <w:p>
      <w:pPr>
        <w:adjustRightInd w:val="0"/>
        <w:snapToGrid w:val="0"/>
        <w:spacing w:before="120" w:beforeLines="50" w:line="276" w:lineRule="auto"/>
        <w:ind w:firstLine="420" w:firstLineChars="200"/>
        <w:rPr>
          <w:rFonts w:ascii="宋体" w:hAnsi="宋体"/>
          <w:color w:val="auto"/>
          <w:szCs w:val="21"/>
          <w:highlight w:val="none"/>
        </w:rPr>
      </w:pPr>
      <w:r>
        <w:rPr>
          <w:rFonts w:hint="eastAsia" w:ascii="宋体" w:hAnsi="宋体"/>
          <w:color w:val="auto"/>
          <w:szCs w:val="21"/>
          <w:highlight w:val="none"/>
        </w:rPr>
        <w:t>本协议书与下列文件一起构成合同文件，如下述文件之间有任何抵触、矛盾或歧义，应按以下顺序解释：</w:t>
      </w:r>
    </w:p>
    <w:p>
      <w:pPr>
        <w:adjustRightInd w:val="0"/>
        <w:snapToGrid w:val="0"/>
        <w:spacing w:before="120" w:beforeLines="50" w:line="276" w:lineRule="auto"/>
        <w:ind w:firstLine="420" w:firstLineChars="200"/>
        <w:rPr>
          <w:rFonts w:ascii="宋体" w:hAnsi="宋体"/>
          <w:color w:val="auto"/>
          <w:szCs w:val="21"/>
          <w:highlight w:val="none"/>
        </w:rPr>
      </w:pPr>
      <w:r>
        <w:rPr>
          <w:rFonts w:hint="eastAsia" w:ascii="宋体" w:hAnsi="宋体"/>
          <w:color w:val="auto"/>
          <w:szCs w:val="21"/>
          <w:highlight w:val="none"/>
        </w:rPr>
        <w:t>（1）在采购或合同履行过程中乙方作出的承诺以及双方协商达成的变更或补充协议</w:t>
      </w:r>
    </w:p>
    <w:p>
      <w:pPr>
        <w:adjustRightInd w:val="0"/>
        <w:snapToGrid w:val="0"/>
        <w:spacing w:before="120" w:beforeLines="50" w:line="276" w:lineRule="auto"/>
        <w:ind w:firstLine="420" w:firstLineChars="200"/>
        <w:rPr>
          <w:rFonts w:ascii="宋体" w:hAnsi="宋体"/>
          <w:color w:val="auto"/>
          <w:szCs w:val="21"/>
          <w:highlight w:val="none"/>
        </w:rPr>
      </w:pPr>
      <w:r>
        <w:rPr>
          <w:rFonts w:hint="eastAsia" w:ascii="宋体" w:hAnsi="宋体"/>
          <w:color w:val="auto"/>
          <w:szCs w:val="21"/>
          <w:highlight w:val="none"/>
        </w:rPr>
        <w:t>（2）本合同协议书</w:t>
      </w:r>
    </w:p>
    <w:p>
      <w:pPr>
        <w:adjustRightInd w:val="0"/>
        <w:snapToGrid w:val="0"/>
        <w:spacing w:before="120" w:beforeLines="50" w:line="276" w:lineRule="auto"/>
        <w:ind w:firstLine="420" w:firstLineChars="200"/>
        <w:rPr>
          <w:rFonts w:ascii="宋体" w:hAnsi="宋体"/>
          <w:color w:val="auto"/>
          <w:szCs w:val="21"/>
          <w:highlight w:val="none"/>
        </w:rPr>
      </w:pPr>
      <w:r>
        <w:rPr>
          <w:rFonts w:hint="eastAsia" w:ascii="宋体" w:hAnsi="宋体"/>
          <w:color w:val="auto"/>
          <w:szCs w:val="21"/>
          <w:highlight w:val="none"/>
        </w:rPr>
        <w:t>（3）成交通知书</w:t>
      </w:r>
    </w:p>
    <w:p>
      <w:pPr>
        <w:adjustRightInd w:val="0"/>
        <w:snapToGrid w:val="0"/>
        <w:spacing w:before="120" w:beforeLines="50" w:line="276" w:lineRule="auto"/>
        <w:ind w:firstLine="420" w:firstLineChars="200"/>
        <w:rPr>
          <w:rFonts w:ascii="宋体" w:hAnsi="宋体"/>
          <w:color w:val="auto"/>
          <w:szCs w:val="21"/>
          <w:highlight w:val="none"/>
        </w:rPr>
      </w:pPr>
      <w:r>
        <w:rPr>
          <w:rFonts w:hint="eastAsia" w:ascii="宋体" w:hAnsi="宋体"/>
          <w:color w:val="auto"/>
          <w:szCs w:val="21"/>
          <w:highlight w:val="none"/>
        </w:rPr>
        <w:t>（5）采购合同</w:t>
      </w:r>
    </w:p>
    <w:p>
      <w:pPr>
        <w:adjustRightInd w:val="0"/>
        <w:snapToGrid w:val="0"/>
        <w:spacing w:before="120" w:beforeLines="50" w:line="276"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6</w:t>
      </w:r>
      <w:r>
        <w:rPr>
          <w:rFonts w:hint="eastAsia" w:ascii="宋体" w:hAnsi="宋体"/>
          <w:color w:val="auto"/>
          <w:szCs w:val="21"/>
          <w:highlight w:val="none"/>
        </w:rPr>
        <w:t>）标准、规范及有关技术文件，图纸。</w:t>
      </w:r>
    </w:p>
    <w:p>
      <w:pPr>
        <w:adjustRightInd w:val="0"/>
        <w:snapToGrid w:val="0"/>
        <w:spacing w:before="120" w:beforeLines="50" w:line="276"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7</w:t>
      </w:r>
      <w:r>
        <w:rPr>
          <w:rFonts w:hint="eastAsia" w:ascii="宋体" w:hAnsi="宋体"/>
          <w:color w:val="auto"/>
          <w:szCs w:val="21"/>
          <w:highlight w:val="none"/>
        </w:rPr>
        <w:t>）其他合同文件。</w:t>
      </w:r>
    </w:p>
    <w:p>
      <w:pPr>
        <w:keepNext/>
        <w:keepLines/>
        <w:adjustRightInd w:val="0"/>
        <w:snapToGrid w:val="0"/>
        <w:spacing w:before="50" w:line="276" w:lineRule="auto"/>
        <w:outlineLvl w:val="2"/>
        <w:rPr>
          <w:rFonts w:ascii="黑体" w:hAnsi="黑体" w:eastAsia="黑体"/>
          <w:b/>
          <w:bCs/>
          <w:color w:val="auto"/>
          <w:sz w:val="24"/>
          <w:highlight w:val="none"/>
        </w:rPr>
      </w:pPr>
      <w:bookmarkStart w:id="46" w:name="_Toc75793754"/>
      <w:bookmarkStart w:id="47" w:name="_Toc106890523"/>
      <w:r>
        <w:rPr>
          <w:rFonts w:hint="eastAsia" w:ascii="黑体" w:hAnsi="黑体" w:eastAsia="黑体"/>
          <w:b/>
          <w:bCs/>
          <w:color w:val="auto"/>
          <w:sz w:val="24"/>
          <w:highlight w:val="none"/>
        </w:rPr>
        <w:t>7.合同生效</w:t>
      </w:r>
      <w:bookmarkEnd w:id="46"/>
      <w:bookmarkEnd w:id="47"/>
    </w:p>
    <w:p>
      <w:pPr>
        <w:adjustRightInd w:val="0"/>
        <w:snapToGrid w:val="0"/>
        <w:spacing w:before="120" w:beforeLines="50" w:line="276" w:lineRule="auto"/>
        <w:ind w:firstLine="420" w:firstLineChars="200"/>
        <w:rPr>
          <w:rFonts w:ascii="宋体" w:hAnsi="宋体"/>
          <w:color w:val="auto"/>
          <w:szCs w:val="21"/>
          <w:highlight w:val="none"/>
        </w:rPr>
      </w:pPr>
      <w:r>
        <w:rPr>
          <w:rFonts w:hint="eastAsia" w:ascii="宋体" w:hAnsi="宋体"/>
          <w:color w:val="auto"/>
          <w:szCs w:val="21"/>
          <w:highlight w:val="none"/>
        </w:rPr>
        <w:t>本合同自</w:t>
      </w:r>
      <w:r>
        <w:rPr>
          <w:rFonts w:hint="eastAsia" w:ascii="宋体" w:hAnsi="宋体"/>
          <w:color w:val="auto"/>
          <w:szCs w:val="21"/>
          <w:highlight w:val="none"/>
          <w:u w:val="single"/>
        </w:rPr>
        <w:t xml:space="preserve">                               </w:t>
      </w:r>
      <w:r>
        <w:rPr>
          <w:rFonts w:hint="eastAsia" w:ascii="宋体" w:hAnsi="宋体"/>
          <w:color w:val="auto"/>
          <w:szCs w:val="21"/>
          <w:highlight w:val="none"/>
        </w:rPr>
        <w:t>生效。</w:t>
      </w:r>
    </w:p>
    <w:p>
      <w:pPr>
        <w:keepNext/>
        <w:keepLines/>
        <w:adjustRightInd w:val="0"/>
        <w:snapToGrid w:val="0"/>
        <w:spacing w:before="50" w:line="276" w:lineRule="auto"/>
        <w:outlineLvl w:val="2"/>
        <w:rPr>
          <w:rFonts w:ascii="黑体" w:hAnsi="黑体" w:eastAsia="黑体"/>
          <w:b/>
          <w:bCs/>
          <w:color w:val="auto"/>
          <w:sz w:val="24"/>
          <w:highlight w:val="none"/>
        </w:rPr>
      </w:pPr>
      <w:bookmarkStart w:id="48" w:name="_Toc75793755"/>
      <w:bookmarkStart w:id="49" w:name="_Toc106890524"/>
      <w:r>
        <w:rPr>
          <w:rFonts w:hint="eastAsia" w:ascii="黑体" w:hAnsi="黑体" w:eastAsia="黑体"/>
          <w:b/>
          <w:bCs/>
          <w:color w:val="auto"/>
          <w:sz w:val="24"/>
          <w:highlight w:val="none"/>
        </w:rPr>
        <w:t>8.合同份数</w:t>
      </w:r>
      <w:bookmarkEnd w:id="48"/>
      <w:bookmarkEnd w:id="49"/>
    </w:p>
    <w:p>
      <w:pPr>
        <w:adjustRightInd w:val="0"/>
        <w:snapToGrid w:val="0"/>
        <w:spacing w:before="120" w:beforeLines="50" w:line="276" w:lineRule="auto"/>
        <w:ind w:firstLine="420" w:firstLineChars="200"/>
        <w:rPr>
          <w:rFonts w:ascii="宋体" w:hAnsi="宋体"/>
          <w:color w:val="auto"/>
          <w:szCs w:val="21"/>
          <w:highlight w:val="none"/>
        </w:rPr>
      </w:pPr>
      <w:r>
        <w:rPr>
          <w:rFonts w:hint="eastAsia" w:ascii="宋体" w:hAnsi="宋体"/>
          <w:color w:val="auto"/>
          <w:szCs w:val="21"/>
          <w:highlight w:val="none"/>
        </w:rPr>
        <w:t>本合同一式</w:t>
      </w:r>
      <w:r>
        <w:rPr>
          <w:rFonts w:hint="eastAsia" w:ascii="宋体" w:hAnsi="宋体"/>
          <w:color w:val="auto"/>
          <w:szCs w:val="21"/>
          <w:highlight w:val="none"/>
          <w:u w:val="single"/>
        </w:rPr>
        <w:t xml:space="preserve">    </w:t>
      </w:r>
      <w:r>
        <w:rPr>
          <w:rFonts w:hint="eastAsia" w:ascii="宋体" w:hAnsi="宋体"/>
          <w:color w:val="auto"/>
          <w:szCs w:val="21"/>
          <w:highlight w:val="none"/>
        </w:rPr>
        <w:t>份，采购人执</w:t>
      </w:r>
      <w:r>
        <w:rPr>
          <w:rFonts w:hint="eastAsia" w:ascii="宋体" w:hAnsi="宋体"/>
          <w:color w:val="auto"/>
          <w:szCs w:val="21"/>
          <w:highlight w:val="none"/>
          <w:u w:val="single"/>
        </w:rPr>
        <w:t xml:space="preserve">   </w:t>
      </w:r>
      <w:r>
        <w:rPr>
          <w:rFonts w:hint="eastAsia" w:ascii="宋体" w:hAnsi="宋体"/>
          <w:color w:val="auto"/>
          <w:szCs w:val="21"/>
          <w:highlight w:val="none"/>
        </w:rPr>
        <w:t>份，供应商执</w:t>
      </w:r>
      <w:r>
        <w:rPr>
          <w:rFonts w:hint="eastAsia" w:ascii="宋体" w:hAnsi="宋体"/>
          <w:color w:val="auto"/>
          <w:szCs w:val="21"/>
          <w:highlight w:val="none"/>
          <w:u w:val="single"/>
        </w:rPr>
        <w:t xml:space="preserve">   </w:t>
      </w:r>
      <w:r>
        <w:rPr>
          <w:rFonts w:hint="eastAsia" w:ascii="宋体" w:hAnsi="宋体"/>
          <w:color w:val="auto"/>
          <w:szCs w:val="21"/>
          <w:highlight w:val="none"/>
        </w:rPr>
        <w:t>份，均具有同等法律效力。</w:t>
      </w:r>
    </w:p>
    <w:p>
      <w:pPr>
        <w:adjustRightInd w:val="0"/>
        <w:snapToGrid w:val="0"/>
        <w:spacing w:before="120" w:beforeLines="50" w:line="276" w:lineRule="auto"/>
        <w:rPr>
          <w:rFonts w:ascii="宋体" w:hAnsi="宋体"/>
          <w:color w:val="auto"/>
          <w:szCs w:val="21"/>
          <w:highlight w:val="none"/>
        </w:rPr>
      </w:pPr>
    </w:p>
    <w:p>
      <w:pPr>
        <w:adjustRightInd w:val="0"/>
        <w:snapToGrid w:val="0"/>
        <w:spacing w:before="120" w:beforeLines="50" w:line="276" w:lineRule="auto"/>
        <w:rPr>
          <w:rFonts w:ascii="宋体" w:hAnsi="宋体"/>
          <w:color w:val="auto"/>
          <w:szCs w:val="21"/>
          <w:highlight w:val="none"/>
        </w:rPr>
      </w:pPr>
      <w:r>
        <w:rPr>
          <w:rFonts w:hint="eastAsia" w:ascii="宋体" w:hAnsi="宋体"/>
          <w:color w:val="auto"/>
          <w:szCs w:val="21"/>
          <w:highlight w:val="none"/>
        </w:rPr>
        <w:t>合同订立时间：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adjustRightInd w:val="0"/>
        <w:snapToGrid w:val="0"/>
        <w:spacing w:before="120" w:beforeLines="50" w:line="276" w:lineRule="auto"/>
        <w:rPr>
          <w:rFonts w:ascii="宋体" w:hAnsi="宋体"/>
          <w:color w:val="auto"/>
          <w:szCs w:val="21"/>
          <w:highlight w:val="none"/>
        </w:rPr>
      </w:pPr>
      <w:r>
        <w:rPr>
          <w:rFonts w:hint="eastAsia" w:ascii="宋体" w:hAnsi="宋体"/>
          <w:color w:val="auto"/>
          <w:szCs w:val="21"/>
          <w:highlight w:val="none"/>
        </w:rPr>
        <w:t>合同订立地点：</w:t>
      </w:r>
      <w:r>
        <w:rPr>
          <w:rFonts w:hint="eastAsia" w:ascii="宋体" w:hAnsi="宋体"/>
          <w:color w:val="auto"/>
          <w:szCs w:val="21"/>
          <w:highlight w:val="none"/>
          <w:u w:val="single"/>
        </w:rPr>
        <w:t xml:space="preserve">                           </w:t>
      </w:r>
    </w:p>
    <w:p>
      <w:pPr>
        <w:adjustRightInd w:val="0"/>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w:t>
      </w:r>
    </w:p>
    <w:p>
      <w:pPr>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甲      方：（公章）                     乙      方：（公章）</w:t>
      </w:r>
    </w:p>
    <w:p>
      <w:pPr>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法定代表人：</w:t>
      </w:r>
      <w:r>
        <w:rPr>
          <w:rFonts w:hint="eastAsia" w:ascii="宋体" w:hAnsi="宋体"/>
          <w:color w:val="auto"/>
          <w:szCs w:val="21"/>
          <w:highlight w:val="none"/>
          <w:u w:val="single"/>
        </w:rPr>
        <w:t xml:space="preserve">                   </w:t>
      </w:r>
    </w:p>
    <w:p>
      <w:pPr>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委托代理人：</w:t>
      </w:r>
      <w:r>
        <w:rPr>
          <w:rFonts w:hint="eastAsia" w:ascii="宋体" w:hAnsi="宋体"/>
          <w:color w:val="auto"/>
          <w:szCs w:val="21"/>
          <w:highlight w:val="none"/>
          <w:u w:val="single"/>
        </w:rPr>
        <w:t xml:space="preserve">                   </w:t>
      </w:r>
    </w:p>
    <w:p>
      <w:pPr>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电      话：</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电      话：</w:t>
      </w:r>
      <w:r>
        <w:rPr>
          <w:rFonts w:hint="eastAsia" w:ascii="宋体" w:hAnsi="宋体"/>
          <w:color w:val="auto"/>
          <w:szCs w:val="21"/>
          <w:highlight w:val="none"/>
          <w:u w:val="single"/>
        </w:rPr>
        <w:t xml:space="preserve">                   </w:t>
      </w:r>
    </w:p>
    <w:p>
      <w:pPr>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传      真：</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传      真：</w:t>
      </w:r>
      <w:r>
        <w:rPr>
          <w:rFonts w:hint="eastAsia" w:ascii="宋体" w:hAnsi="宋体"/>
          <w:color w:val="auto"/>
          <w:szCs w:val="21"/>
          <w:highlight w:val="none"/>
          <w:u w:val="single"/>
        </w:rPr>
        <w:t xml:space="preserve">                   </w:t>
      </w:r>
    </w:p>
    <w:p>
      <w:pPr>
        <w:adjustRightInd w:val="0"/>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开 户 银 行：</w:t>
      </w:r>
      <w:r>
        <w:rPr>
          <w:rFonts w:hint="eastAsia" w:ascii="宋体" w:hAnsi="宋体"/>
          <w:color w:val="auto"/>
          <w:szCs w:val="21"/>
          <w:highlight w:val="none"/>
          <w:u w:val="single"/>
        </w:rPr>
        <w:t xml:space="preserve">                   </w:t>
      </w:r>
    </w:p>
    <w:p>
      <w:pPr>
        <w:adjustRightInd w:val="0"/>
        <w:snapToGrid w:val="0"/>
        <w:spacing w:before="120" w:beforeLines="50"/>
        <w:jc w:val="center"/>
        <w:rPr>
          <w:rFonts w:ascii="宋体" w:hAnsi="宋体"/>
          <w:b/>
          <w:color w:val="auto"/>
          <w:szCs w:val="21"/>
          <w:highlight w:val="none"/>
        </w:rPr>
      </w:pPr>
      <w:r>
        <w:rPr>
          <w:rFonts w:hint="eastAsia" w:ascii="宋体" w:hAnsi="宋体"/>
          <w:color w:val="auto"/>
          <w:szCs w:val="21"/>
          <w:highlight w:val="none"/>
        </w:rPr>
        <w:t xml:space="preserve"> 帐       号：</w:t>
      </w:r>
      <w:r>
        <w:rPr>
          <w:rFonts w:hint="eastAsia" w:ascii="宋体" w:hAnsi="宋体"/>
          <w:color w:val="auto"/>
          <w:szCs w:val="21"/>
          <w:highlight w:val="none"/>
          <w:u w:val="single"/>
        </w:rPr>
        <w:t xml:space="preserve">                 </w:t>
      </w:r>
    </w:p>
    <w:p>
      <w:pPr>
        <w:widowControl/>
        <w:jc w:val="left"/>
        <w:rPr>
          <w:rFonts w:ascii="宋体" w:hAnsi="宋体"/>
          <w:color w:val="auto"/>
          <w:sz w:val="32"/>
          <w:szCs w:val="32"/>
          <w:highlight w:val="none"/>
        </w:rPr>
      </w:pPr>
      <w:r>
        <w:rPr>
          <w:rFonts w:ascii="宋体" w:hAnsi="宋体"/>
          <w:color w:val="auto"/>
          <w:sz w:val="32"/>
          <w:szCs w:val="32"/>
          <w:highlight w:val="none"/>
        </w:rPr>
        <w:br w:type="page"/>
      </w:r>
    </w:p>
    <w:p>
      <w:pPr>
        <w:pStyle w:val="2"/>
        <w:adjustRightInd w:val="0"/>
        <w:snapToGrid w:val="0"/>
        <w:spacing w:before="120" w:beforeLines="50" w:line="360" w:lineRule="auto"/>
        <w:jc w:val="center"/>
        <w:rPr>
          <w:rFonts w:ascii="宋体" w:hAnsi="宋体"/>
          <w:color w:val="auto"/>
          <w:sz w:val="32"/>
          <w:szCs w:val="32"/>
          <w:highlight w:val="none"/>
        </w:rPr>
      </w:pPr>
      <w:r>
        <w:rPr>
          <w:rFonts w:hint="eastAsia" w:ascii="宋体" w:hAnsi="宋体"/>
          <w:color w:val="auto"/>
          <w:sz w:val="32"/>
          <w:szCs w:val="32"/>
          <w:highlight w:val="none"/>
        </w:rPr>
        <w:t>第五章 评分标准及办法</w:t>
      </w:r>
    </w:p>
    <w:p>
      <w:pPr>
        <w:spacing w:line="360" w:lineRule="auto"/>
        <w:ind w:firstLine="420" w:firstLineChars="200"/>
        <w:rPr>
          <w:rFonts w:ascii="宋体" w:hAnsi="宋体"/>
          <w:color w:val="auto"/>
          <w:sz w:val="24"/>
          <w:highlight w:val="none"/>
        </w:rPr>
      </w:pPr>
      <w:r>
        <w:rPr>
          <w:rFonts w:hint="eastAsia" w:ascii="宋体" w:hAnsi="宋体"/>
          <w:color w:val="auto"/>
          <w:szCs w:val="20"/>
          <w:highlight w:val="none"/>
        </w:rPr>
        <w:t>为保证本次招标项目公开、公平、公正，特根据</w:t>
      </w:r>
      <w:bookmarkStart w:id="50" w:name="_Hlk146629265"/>
      <w:r>
        <w:rPr>
          <w:rFonts w:hint="eastAsia" w:ascii="宋体" w:hAnsi="宋体"/>
          <w:color w:val="auto"/>
          <w:szCs w:val="20"/>
          <w:highlight w:val="none"/>
        </w:rPr>
        <w:t>《中华人民共和国招标投标法》、《中华人民共和国招标投标法实施条例》</w:t>
      </w:r>
      <w:bookmarkEnd w:id="50"/>
      <w:r>
        <w:rPr>
          <w:rFonts w:ascii="宋体" w:hAnsi="宋体"/>
          <w:color w:val="auto"/>
          <w:szCs w:val="20"/>
          <w:highlight w:val="none"/>
        </w:rPr>
        <w:t>、《评标委员会和评标办法暂行规定》</w:t>
      </w:r>
      <w:r>
        <w:rPr>
          <w:rFonts w:hint="eastAsia" w:ascii="宋体" w:hAnsi="宋体"/>
          <w:color w:val="auto"/>
          <w:szCs w:val="20"/>
          <w:highlight w:val="none"/>
        </w:rPr>
        <w:t>的规定及招标人的相关管理制度制定本评标办法。</w:t>
      </w:r>
    </w:p>
    <w:p>
      <w:pPr>
        <w:spacing w:line="360" w:lineRule="auto"/>
        <w:rPr>
          <w:rFonts w:ascii="宋体" w:hAnsi="宋体"/>
          <w:color w:val="auto"/>
          <w:szCs w:val="20"/>
          <w:highlight w:val="none"/>
        </w:rPr>
      </w:pPr>
      <w:r>
        <w:rPr>
          <w:color w:val="auto"/>
          <w:highlight w:val="none"/>
        </w:rPr>
        <w:tab/>
      </w:r>
      <w:r>
        <w:rPr>
          <w:rFonts w:ascii="宋体" w:hAnsi="宋体"/>
          <w:color w:val="auto"/>
          <w:szCs w:val="20"/>
          <w:highlight w:val="none"/>
        </w:rPr>
        <w:t>本项目评标采用“综合评</w:t>
      </w:r>
      <w:r>
        <w:rPr>
          <w:rFonts w:hint="eastAsia" w:ascii="宋体" w:hAnsi="宋体"/>
          <w:color w:val="auto"/>
          <w:szCs w:val="20"/>
          <w:highlight w:val="none"/>
        </w:rPr>
        <w:t>分</w:t>
      </w:r>
      <w:r>
        <w:rPr>
          <w:rFonts w:ascii="宋体" w:hAnsi="宋体"/>
          <w:color w:val="auto"/>
          <w:szCs w:val="20"/>
          <w:highlight w:val="none"/>
        </w:rPr>
        <w:t>法”</w:t>
      </w:r>
      <w:r>
        <w:rPr>
          <w:rFonts w:hint="eastAsia" w:ascii="宋体" w:hAnsi="宋体"/>
          <w:color w:val="auto"/>
          <w:szCs w:val="20"/>
          <w:highlight w:val="none"/>
        </w:rPr>
        <w:t>。</w:t>
      </w:r>
      <w:r>
        <w:rPr>
          <w:rFonts w:ascii="宋体" w:hAnsi="宋体"/>
          <w:color w:val="auto"/>
          <w:szCs w:val="20"/>
          <w:highlight w:val="none"/>
        </w:rPr>
        <w:t>并遵循以下计分规则：评分计算保留2位小数（百分比亦取2位小数），第三位小数四舍五入；</w:t>
      </w:r>
    </w:p>
    <w:p>
      <w:pPr>
        <w:pStyle w:val="3"/>
        <w:adjustRightInd w:val="0"/>
        <w:snapToGrid w:val="0"/>
        <w:spacing w:before="120"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第一节 取值范围</w:t>
      </w:r>
    </w:p>
    <w:p>
      <w:pPr>
        <w:spacing w:line="360" w:lineRule="auto"/>
        <w:ind w:right="1936" w:rightChars="922"/>
        <w:jc w:val="left"/>
        <w:rPr>
          <w:color w:val="auto"/>
          <w:highlight w:val="none"/>
        </w:rPr>
      </w:pPr>
      <w:r>
        <w:rPr>
          <w:rFonts w:hint="eastAsia" w:ascii="宋体" w:hAnsi="宋体" w:cs="宋体"/>
          <w:color w:val="auto"/>
          <w:szCs w:val="21"/>
          <w:highlight w:val="none"/>
        </w:rPr>
        <w:t>分数的取值范围见下表，本采购项目的范围为</w:t>
      </w:r>
      <w:r>
        <w:rPr>
          <w:rFonts w:hint="eastAsia" w:ascii="宋体" w:hAnsi="宋体" w:cs="宋体"/>
          <w:color w:val="auto"/>
          <w:highlight w:val="none"/>
        </w:rPr>
        <w:t>：</w:t>
      </w:r>
    </w:p>
    <w:tbl>
      <w:tblPr>
        <w:tblStyle w:val="37"/>
        <w:tblW w:w="0" w:type="auto"/>
        <w:tblInd w:w="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08"/>
        <w:gridCol w:w="769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3" w:hRule="atLeast"/>
        </w:trPr>
        <w:tc>
          <w:tcPr>
            <w:tcW w:w="9400" w:type="dxa"/>
            <w:gridSpan w:val="2"/>
            <w:vAlign w:val="center"/>
          </w:tcPr>
          <w:p>
            <w:pPr>
              <w:snapToGrid w:val="0"/>
              <w:ind w:right="1936" w:rightChars="922"/>
              <w:jc w:val="center"/>
              <w:rPr>
                <w:rFonts w:ascii="宋体" w:hAnsi="宋体" w:cs="宋体"/>
                <w:color w:val="auto"/>
                <w:szCs w:val="21"/>
                <w:highlight w:val="none"/>
              </w:rPr>
            </w:pPr>
            <w:r>
              <w:rPr>
                <w:rFonts w:hint="eastAsia" w:ascii="宋体" w:hAnsi="宋体" w:cs="宋体"/>
                <w:color w:val="auto"/>
                <w:szCs w:val="21"/>
                <w:highlight w:val="none"/>
              </w:rPr>
              <w:t>评审因素及</w:t>
            </w:r>
            <w:r>
              <w:rPr>
                <w:rFonts w:hint="eastAsia"/>
                <w:color w:val="auto"/>
                <w:highlight w:val="none"/>
              </w:rPr>
              <w:t>分值</w:t>
            </w:r>
            <w:r>
              <w:rPr>
                <w:color w:val="auto"/>
                <w:highlight w:val="none"/>
              </w:rPr>
              <w:t>范围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3" w:hRule="atLeast"/>
        </w:trPr>
        <w:tc>
          <w:tcPr>
            <w:tcW w:w="1708" w:type="dxa"/>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评审因素</w:t>
            </w:r>
          </w:p>
        </w:tc>
        <w:tc>
          <w:tcPr>
            <w:tcW w:w="7692" w:type="dxa"/>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分值范围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3" w:hRule="atLeast"/>
        </w:trPr>
        <w:tc>
          <w:tcPr>
            <w:tcW w:w="1708" w:type="dxa"/>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价格部分</w:t>
            </w:r>
          </w:p>
        </w:tc>
        <w:tc>
          <w:tcPr>
            <w:tcW w:w="7692" w:type="dxa"/>
            <w:vAlign w:val="center"/>
          </w:tcPr>
          <w:p>
            <w:pPr>
              <w:snapToGrid w:val="0"/>
              <w:jc w:val="center"/>
              <w:rPr>
                <w:rFonts w:ascii="宋体" w:hAnsi="宋体" w:cs="宋体"/>
                <w:color w:val="auto"/>
                <w:szCs w:val="21"/>
                <w:highlight w:val="none"/>
              </w:rPr>
            </w:pPr>
            <w:r>
              <w:rPr>
                <w:rFonts w:ascii="宋体" w:hAnsi="宋体" w:cs="宋体"/>
                <w:color w:val="auto"/>
                <w:szCs w:val="21"/>
                <w:highlight w:val="none"/>
              </w:rPr>
              <w:t>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3" w:hRule="atLeast"/>
        </w:trPr>
        <w:tc>
          <w:tcPr>
            <w:tcW w:w="1708" w:type="dxa"/>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商务部分</w:t>
            </w:r>
          </w:p>
        </w:tc>
        <w:tc>
          <w:tcPr>
            <w:tcW w:w="7692" w:type="dxa"/>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3" w:hRule="atLeast"/>
        </w:trPr>
        <w:tc>
          <w:tcPr>
            <w:tcW w:w="1708" w:type="dxa"/>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技术部分</w:t>
            </w:r>
          </w:p>
        </w:tc>
        <w:tc>
          <w:tcPr>
            <w:tcW w:w="7692" w:type="dxa"/>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45</w:t>
            </w:r>
          </w:p>
        </w:tc>
      </w:tr>
    </w:tbl>
    <w:p>
      <w:pPr>
        <w:widowControl/>
        <w:jc w:val="left"/>
        <w:rPr>
          <w:rFonts w:ascii="宋体" w:hAnsi="宋体"/>
          <w:color w:val="auto"/>
          <w:sz w:val="28"/>
          <w:szCs w:val="28"/>
          <w:highlight w:val="none"/>
        </w:rPr>
      </w:pPr>
      <w:r>
        <w:rPr>
          <w:rFonts w:ascii="宋体" w:hAnsi="宋体"/>
          <w:color w:val="auto"/>
          <w:sz w:val="28"/>
          <w:szCs w:val="28"/>
          <w:highlight w:val="none"/>
        </w:rPr>
        <w:br w:type="page"/>
      </w:r>
    </w:p>
    <w:p>
      <w:pPr>
        <w:pStyle w:val="3"/>
        <w:adjustRightInd w:val="0"/>
        <w:snapToGrid w:val="0"/>
        <w:spacing w:before="120"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第二节 评分办法</w:t>
      </w:r>
    </w:p>
    <w:tbl>
      <w:tblPr>
        <w:tblStyle w:val="37"/>
        <w:tblW w:w="49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962"/>
        <w:gridCol w:w="7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374" w:type="pct"/>
            <w:vAlign w:val="center"/>
          </w:tcPr>
          <w:p>
            <w:pPr>
              <w:wordWrap w:val="0"/>
              <w:topLinePunct/>
              <w:adjustRightInd w:val="0"/>
              <w:snapToGrid w:val="0"/>
              <w:spacing w:line="360" w:lineRule="exact"/>
              <w:jc w:val="center"/>
              <w:rPr>
                <w:rFonts w:ascii="宋体" w:hAnsi="宋体" w:cs="宋体"/>
                <w:color w:val="auto"/>
                <w:sz w:val="20"/>
                <w:szCs w:val="20"/>
                <w:highlight w:val="none"/>
              </w:rPr>
            </w:pPr>
            <w:r>
              <w:rPr>
                <w:rFonts w:hint="eastAsia" w:ascii="宋体" w:hAnsi="宋体" w:cs="宋体"/>
                <w:color w:val="auto"/>
                <w:sz w:val="20"/>
                <w:szCs w:val="20"/>
                <w:highlight w:val="none"/>
              </w:rPr>
              <w:t>内容</w:t>
            </w:r>
          </w:p>
        </w:tc>
        <w:tc>
          <w:tcPr>
            <w:tcW w:w="504" w:type="pct"/>
            <w:vAlign w:val="center"/>
          </w:tcPr>
          <w:p>
            <w:pPr>
              <w:wordWrap w:val="0"/>
              <w:topLinePunct/>
              <w:adjustRightInd w:val="0"/>
              <w:snapToGrid w:val="0"/>
              <w:spacing w:line="360" w:lineRule="exact"/>
              <w:jc w:val="center"/>
              <w:rPr>
                <w:rFonts w:ascii="宋体" w:hAnsi="宋体" w:cs="宋体"/>
                <w:color w:val="auto"/>
                <w:sz w:val="20"/>
                <w:szCs w:val="20"/>
                <w:highlight w:val="none"/>
              </w:rPr>
            </w:pPr>
            <w:r>
              <w:rPr>
                <w:rFonts w:hint="eastAsia" w:ascii="宋体" w:hAnsi="宋体" w:cs="宋体"/>
                <w:color w:val="auto"/>
                <w:sz w:val="20"/>
                <w:szCs w:val="20"/>
                <w:highlight w:val="none"/>
              </w:rPr>
              <w:t>分值</w:t>
            </w:r>
          </w:p>
        </w:tc>
        <w:tc>
          <w:tcPr>
            <w:tcW w:w="4120" w:type="pct"/>
            <w:vAlign w:val="center"/>
          </w:tcPr>
          <w:p>
            <w:pPr>
              <w:wordWrap w:val="0"/>
              <w:topLinePunct/>
              <w:adjustRightInd w:val="0"/>
              <w:snapToGrid w:val="0"/>
              <w:spacing w:line="360" w:lineRule="exact"/>
              <w:jc w:val="center"/>
              <w:rPr>
                <w:rFonts w:ascii="宋体" w:hAnsi="宋体" w:cs="宋体"/>
                <w:color w:val="auto"/>
                <w:sz w:val="20"/>
                <w:szCs w:val="20"/>
                <w:highlight w:val="none"/>
              </w:rPr>
            </w:pPr>
            <w:r>
              <w:rPr>
                <w:rFonts w:hint="eastAsia" w:ascii="宋体" w:hAnsi="宋体" w:cs="宋体"/>
                <w:color w:val="auto"/>
                <w:sz w:val="20"/>
                <w:szCs w:val="20"/>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pPr>
              <w:wordWrap w:val="0"/>
              <w:topLinePunct/>
              <w:adjustRightInd w:val="0"/>
              <w:snapToGrid w:val="0"/>
              <w:jc w:val="center"/>
              <w:rPr>
                <w:rFonts w:ascii="宋体" w:hAnsi="宋体" w:cs="宋体"/>
                <w:color w:val="auto"/>
                <w:sz w:val="20"/>
                <w:szCs w:val="20"/>
                <w:highlight w:val="none"/>
              </w:rPr>
            </w:pPr>
            <w:r>
              <w:rPr>
                <w:rFonts w:hint="eastAsia" w:ascii="宋体" w:hAnsi="宋体" w:cs="宋体"/>
                <w:color w:val="auto"/>
                <w:szCs w:val="21"/>
                <w:highlight w:val="none"/>
              </w:rPr>
              <w:t>价格部分</w:t>
            </w:r>
          </w:p>
          <w:p>
            <w:pPr>
              <w:wordWrap w:val="0"/>
              <w:topLinePunct/>
              <w:adjustRightInd w:val="0"/>
              <w:snapToGrid w:val="0"/>
              <w:jc w:val="center"/>
              <w:rPr>
                <w:rFonts w:ascii="宋体" w:hAnsi="宋体" w:cs="宋体"/>
                <w:color w:val="auto"/>
                <w:sz w:val="20"/>
                <w:szCs w:val="20"/>
                <w:highlight w:val="none"/>
              </w:rPr>
            </w:pPr>
          </w:p>
          <w:p>
            <w:pPr>
              <w:wordWrap w:val="0"/>
              <w:topLinePunct/>
              <w:adjustRightInd w:val="0"/>
              <w:snapToGrid w:val="0"/>
              <w:jc w:val="center"/>
              <w:rPr>
                <w:rFonts w:ascii="宋体" w:hAnsi="宋体" w:cs="宋体"/>
                <w:snapToGrid w:val="0"/>
                <w:color w:val="auto"/>
                <w:kern w:val="0"/>
                <w:sz w:val="20"/>
                <w:szCs w:val="20"/>
                <w:highlight w:val="none"/>
              </w:rPr>
            </w:pPr>
            <w:r>
              <w:rPr>
                <w:rFonts w:hint="eastAsia" w:ascii="宋体" w:hAnsi="宋体" w:cs="宋体"/>
                <w:color w:val="auto"/>
                <w:sz w:val="20"/>
                <w:szCs w:val="20"/>
                <w:highlight w:val="none"/>
              </w:rPr>
              <w:t>30分</w:t>
            </w:r>
          </w:p>
        </w:tc>
        <w:tc>
          <w:tcPr>
            <w:tcW w:w="504" w:type="pct"/>
            <w:vAlign w:val="center"/>
          </w:tcPr>
          <w:p>
            <w:pPr>
              <w:wordWrap w:val="0"/>
              <w:topLinePunct/>
              <w:adjustRightInd w:val="0"/>
              <w:snapToGrid w:val="0"/>
              <w:jc w:val="center"/>
              <w:rPr>
                <w:rFonts w:ascii="宋体" w:hAnsi="宋体" w:cs="宋体"/>
                <w:snapToGrid w:val="0"/>
                <w:color w:val="auto"/>
                <w:kern w:val="0"/>
                <w:sz w:val="20"/>
                <w:szCs w:val="20"/>
                <w:highlight w:val="none"/>
              </w:rPr>
            </w:pPr>
            <w:r>
              <w:rPr>
                <w:rFonts w:hint="eastAsia" w:ascii="宋体" w:hAnsi="宋体" w:cs="宋体"/>
                <w:color w:val="auto"/>
                <w:sz w:val="20"/>
                <w:szCs w:val="20"/>
                <w:highlight w:val="none"/>
              </w:rPr>
              <w:t>30分</w:t>
            </w:r>
          </w:p>
        </w:tc>
        <w:tc>
          <w:tcPr>
            <w:tcW w:w="4120" w:type="pct"/>
            <w:vAlign w:val="center"/>
          </w:tcPr>
          <w:p>
            <w:pPr>
              <w:wordWrap w:val="0"/>
              <w:topLinePunct/>
              <w:adjustRightInd w:val="0"/>
              <w:snapToGrid w:val="0"/>
              <w:spacing w:line="360" w:lineRule="exact"/>
              <w:jc w:val="left"/>
              <w:rPr>
                <w:rFonts w:ascii="宋体" w:hAnsi="宋体" w:cs="宋体"/>
                <w:color w:val="auto"/>
                <w:sz w:val="20"/>
                <w:szCs w:val="20"/>
                <w:highlight w:val="none"/>
              </w:rPr>
            </w:pPr>
            <w:r>
              <w:rPr>
                <w:rFonts w:hint="eastAsia" w:ascii="宋体" w:hAnsi="宋体" w:cs="宋体"/>
                <w:color w:val="auto"/>
                <w:sz w:val="20"/>
                <w:szCs w:val="20"/>
                <w:highlight w:val="none"/>
              </w:rPr>
              <w:t>满足竞争性磋商比选文件要求且投标价格最低的投标报价为评标基准价，其价格分为30分，其他供应商的价格分统一按照下列公式计算：投标报价得分=（评标基准价/投标报价）*30*100%。</w:t>
            </w:r>
          </w:p>
          <w:p>
            <w:pPr>
              <w:wordWrap w:val="0"/>
              <w:topLinePunct/>
              <w:adjustRightInd w:val="0"/>
              <w:snapToGrid w:val="0"/>
              <w:spacing w:line="360" w:lineRule="exact"/>
              <w:jc w:val="left"/>
              <w:rPr>
                <w:rFonts w:ascii="宋体" w:hAnsi="宋体" w:cs="宋体"/>
                <w:b/>
                <w:bCs/>
                <w:color w:val="auto"/>
                <w:sz w:val="20"/>
                <w:szCs w:val="20"/>
                <w:highlight w:val="none"/>
              </w:rPr>
            </w:pPr>
            <w:r>
              <w:rPr>
                <w:rFonts w:hint="eastAsia" w:ascii="宋体" w:hAnsi="宋体" w:cs="宋体"/>
                <w:b/>
                <w:bCs/>
                <w:color w:val="auto"/>
                <w:sz w:val="20"/>
                <w:szCs w:val="20"/>
                <w:highlight w:val="none"/>
              </w:rPr>
              <w:t>注：供应商不得以低于成本的报价竞标。本项目设置理论成本价＝（最高限价×60％＋所有供应商的评审价（高于限价除外）的算术平均值×40％）×0.88。</w:t>
            </w:r>
          </w:p>
          <w:p>
            <w:pPr>
              <w:wordWrap w:val="0"/>
              <w:topLinePunct/>
              <w:adjustRightInd w:val="0"/>
              <w:snapToGrid w:val="0"/>
              <w:spacing w:line="360" w:lineRule="exact"/>
              <w:jc w:val="left"/>
              <w:rPr>
                <w:rFonts w:ascii="宋体" w:hAnsi="宋体" w:cs="宋体"/>
                <w:snapToGrid w:val="0"/>
                <w:color w:val="auto"/>
                <w:kern w:val="0"/>
                <w:sz w:val="20"/>
                <w:szCs w:val="20"/>
                <w:highlight w:val="none"/>
              </w:rPr>
            </w:pPr>
            <w:r>
              <w:rPr>
                <w:rFonts w:hint="eastAsia" w:ascii="宋体" w:hAnsi="宋体" w:cs="宋体"/>
                <w:b/>
                <w:bCs/>
                <w:color w:val="auto"/>
                <w:sz w:val="20"/>
                <w:szCs w:val="20"/>
                <w:highlight w:val="none"/>
              </w:rPr>
              <w:t>评审小组发现供应商的报价明显低于其他供应商报价，且其评审价低于理论成本价时，将认定该供应商以低于成本报价竞标，并否决其响应。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Merge w:val="restart"/>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商务部分</w:t>
            </w:r>
          </w:p>
          <w:p>
            <w:pPr>
              <w:adjustRightInd w:val="0"/>
              <w:snapToGrid w:val="0"/>
              <w:jc w:val="center"/>
              <w:rPr>
                <w:rFonts w:ascii="宋体" w:hAnsi="宋体" w:cs="宋体"/>
                <w:color w:val="auto"/>
                <w:szCs w:val="21"/>
                <w:highlight w:val="none"/>
              </w:rPr>
            </w:pPr>
          </w:p>
          <w:p>
            <w:pPr>
              <w:adjustRightInd w:val="0"/>
              <w:snapToGrid w:val="0"/>
              <w:jc w:val="center"/>
              <w:rPr>
                <w:rFonts w:ascii="宋体" w:hAnsi="宋体" w:cs="宋体"/>
                <w:color w:val="auto"/>
                <w:kern w:val="1"/>
                <w:sz w:val="20"/>
                <w:szCs w:val="20"/>
                <w:highlight w:val="none"/>
              </w:rPr>
            </w:pPr>
            <w:r>
              <w:rPr>
                <w:rFonts w:hint="eastAsia" w:ascii="宋体" w:hAnsi="宋体" w:cs="宋体"/>
                <w:color w:val="auto"/>
                <w:sz w:val="20"/>
                <w:szCs w:val="20"/>
                <w:highlight w:val="none"/>
              </w:rPr>
              <w:t>25分</w:t>
            </w:r>
          </w:p>
        </w:tc>
        <w:tc>
          <w:tcPr>
            <w:tcW w:w="504" w:type="pct"/>
            <w:vAlign w:val="center"/>
          </w:tcPr>
          <w:p>
            <w:pPr>
              <w:adjustRightInd w:val="0"/>
              <w:snapToGrid w:val="0"/>
              <w:jc w:val="center"/>
              <w:rPr>
                <w:rFonts w:ascii="宋体" w:hAnsi="宋体" w:cs="宋体"/>
                <w:color w:val="auto"/>
                <w:kern w:val="1"/>
                <w:sz w:val="20"/>
                <w:szCs w:val="20"/>
                <w:highlight w:val="none"/>
              </w:rPr>
            </w:pPr>
            <w:r>
              <w:rPr>
                <w:rFonts w:hint="eastAsia" w:ascii="宋体" w:hAnsi="宋体" w:cs="宋体"/>
                <w:color w:val="auto"/>
                <w:kern w:val="1"/>
                <w:sz w:val="20"/>
                <w:szCs w:val="20"/>
                <w:highlight w:val="none"/>
              </w:rPr>
              <w:t>资质认证情况</w:t>
            </w:r>
          </w:p>
          <w:p>
            <w:pPr>
              <w:adjustRightInd w:val="0"/>
              <w:snapToGrid w:val="0"/>
              <w:jc w:val="center"/>
              <w:rPr>
                <w:rFonts w:ascii="宋体" w:hAnsi="宋体" w:cs="宋体"/>
                <w:color w:val="auto"/>
                <w:kern w:val="1"/>
                <w:sz w:val="20"/>
                <w:szCs w:val="20"/>
                <w:highlight w:val="none"/>
              </w:rPr>
            </w:pPr>
          </w:p>
          <w:p>
            <w:pPr>
              <w:adjustRightInd w:val="0"/>
              <w:snapToGrid w:val="0"/>
              <w:jc w:val="center"/>
              <w:rPr>
                <w:rFonts w:ascii="宋体" w:hAnsi="宋体" w:cs="宋体"/>
                <w:snapToGrid w:val="0"/>
                <w:color w:val="auto"/>
                <w:kern w:val="0"/>
                <w:sz w:val="20"/>
                <w:szCs w:val="20"/>
                <w:highlight w:val="none"/>
              </w:rPr>
            </w:pPr>
            <w:r>
              <w:rPr>
                <w:rFonts w:hint="eastAsia" w:ascii="宋体" w:hAnsi="宋体" w:cs="宋体"/>
                <w:snapToGrid w:val="0"/>
                <w:color w:val="auto"/>
                <w:kern w:val="0"/>
                <w:sz w:val="20"/>
                <w:szCs w:val="20"/>
                <w:highlight w:val="none"/>
              </w:rPr>
              <w:t>15分</w:t>
            </w:r>
          </w:p>
        </w:tc>
        <w:tc>
          <w:tcPr>
            <w:tcW w:w="4120" w:type="pct"/>
            <w:vAlign w:val="center"/>
          </w:tcPr>
          <w:p>
            <w:pPr>
              <w:adjustRightInd w:val="0"/>
              <w:snapToGrid w:val="0"/>
              <w:spacing w:line="360" w:lineRule="exact"/>
              <w:rPr>
                <w:rFonts w:ascii="宋体" w:hAnsi="宋体" w:cs="宋体"/>
                <w:snapToGrid w:val="0"/>
                <w:color w:val="auto"/>
                <w:kern w:val="0"/>
                <w:sz w:val="20"/>
                <w:szCs w:val="20"/>
                <w:highlight w:val="none"/>
              </w:rPr>
            </w:pPr>
            <w:r>
              <w:rPr>
                <w:rFonts w:hint="eastAsia" w:ascii="宋体" w:hAnsi="宋体" w:cs="宋体"/>
                <w:snapToGrid w:val="0"/>
                <w:color w:val="auto"/>
                <w:kern w:val="0"/>
                <w:sz w:val="20"/>
                <w:szCs w:val="20"/>
                <w:highlight w:val="none"/>
              </w:rPr>
              <w:t>1、具有建设行政主管部门颁发的电子与智能化工程专业承包资质的，二级资质计1.5分，一级资质计3分，本项满分3分；</w:t>
            </w:r>
          </w:p>
          <w:p>
            <w:pPr>
              <w:adjustRightInd w:val="0"/>
              <w:snapToGrid w:val="0"/>
              <w:spacing w:line="360" w:lineRule="exact"/>
              <w:rPr>
                <w:rFonts w:ascii="宋体" w:hAnsi="宋体" w:cs="宋体"/>
                <w:snapToGrid w:val="0"/>
                <w:color w:val="auto"/>
                <w:kern w:val="0"/>
                <w:sz w:val="20"/>
                <w:szCs w:val="20"/>
                <w:highlight w:val="none"/>
              </w:rPr>
            </w:pPr>
            <w:r>
              <w:rPr>
                <w:rFonts w:hint="eastAsia" w:ascii="宋体" w:hAnsi="宋体" w:cs="宋体"/>
                <w:snapToGrid w:val="0"/>
                <w:color w:val="auto"/>
                <w:kern w:val="0"/>
                <w:sz w:val="20"/>
                <w:szCs w:val="20"/>
                <w:highlight w:val="none"/>
              </w:rPr>
              <w:t>2、具有①ISO9001质量管理体系认证证书、②ISO14001环境管理体系认证证书、③ISO45001或OHSAS18001职业健康安全管理体系认证证书、④ISO20000服务管理体系认证证书、⑤ISO27001信息安全管理体系认证证书的，每个计1.5分，本项满分7.5分；</w:t>
            </w:r>
          </w:p>
          <w:p>
            <w:pPr>
              <w:adjustRightInd w:val="0"/>
              <w:snapToGrid w:val="0"/>
              <w:spacing w:line="360" w:lineRule="exact"/>
              <w:rPr>
                <w:rFonts w:ascii="宋体" w:hAnsi="宋体" w:cs="宋体"/>
                <w:snapToGrid w:val="0"/>
                <w:color w:val="auto"/>
                <w:kern w:val="0"/>
                <w:sz w:val="20"/>
                <w:szCs w:val="20"/>
                <w:highlight w:val="none"/>
              </w:rPr>
            </w:pPr>
            <w:r>
              <w:rPr>
                <w:rFonts w:hint="eastAsia" w:ascii="宋体" w:hAnsi="宋体" w:cs="宋体"/>
                <w:snapToGrid w:val="0"/>
                <w:color w:val="auto"/>
                <w:kern w:val="0"/>
                <w:sz w:val="20"/>
                <w:szCs w:val="20"/>
                <w:highlight w:val="none"/>
              </w:rPr>
              <w:t>3、具有CS信息系统建设和服务能力评估认证证书的，1级计1.5分，2级计3分，3级及以上计4.5分，本项满分4.5分。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Merge w:val="continue"/>
            <w:vAlign w:val="center"/>
          </w:tcPr>
          <w:p>
            <w:pPr>
              <w:wordWrap w:val="0"/>
              <w:topLinePunct/>
              <w:adjustRightInd w:val="0"/>
              <w:snapToGrid w:val="0"/>
              <w:jc w:val="center"/>
              <w:rPr>
                <w:rFonts w:ascii="宋体" w:hAnsi="宋体" w:cs="宋体"/>
                <w:color w:val="auto"/>
                <w:sz w:val="20"/>
                <w:szCs w:val="20"/>
                <w:highlight w:val="none"/>
              </w:rPr>
            </w:pPr>
          </w:p>
        </w:tc>
        <w:tc>
          <w:tcPr>
            <w:tcW w:w="504" w:type="pct"/>
            <w:vAlign w:val="center"/>
          </w:tcPr>
          <w:p>
            <w:pPr>
              <w:wordWrap w:val="0"/>
              <w:topLinePunct/>
              <w:adjustRightInd w:val="0"/>
              <w:snapToGrid w:val="0"/>
              <w:jc w:val="center"/>
              <w:rPr>
                <w:rFonts w:ascii="宋体" w:hAnsi="宋体" w:cs="宋体"/>
                <w:color w:val="auto"/>
                <w:kern w:val="1"/>
                <w:sz w:val="20"/>
                <w:szCs w:val="20"/>
                <w:highlight w:val="none"/>
              </w:rPr>
            </w:pPr>
            <w:r>
              <w:rPr>
                <w:rFonts w:hint="eastAsia" w:ascii="宋体" w:hAnsi="宋体" w:cs="宋体"/>
                <w:color w:val="auto"/>
                <w:kern w:val="1"/>
                <w:sz w:val="20"/>
                <w:szCs w:val="20"/>
                <w:highlight w:val="none"/>
              </w:rPr>
              <w:t>项目负责人（项目经理）</w:t>
            </w:r>
          </w:p>
          <w:p>
            <w:pPr>
              <w:wordWrap w:val="0"/>
              <w:topLinePunct/>
              <w:adjustRightInd w:val="0"/>
              <w:snapToGrid w:val="0"/>
              <w:jc w:val="center"/>
              <w:rPr>
                <w:rFonts w:ascii="宋体" w:hAnsi="宋体" w:cs="宋体"/>
                <w:color w:val="auto"/>
                <w:kern w:val="1"/>
                <w:sz w:val="20"/>
                <w:szCs w:val="20"/>
                <w:highlight w:val="none"/>
              </w:rPr>
            </w:pPr>
          </w:p>
          <w:p>
            <w:pPr>
              <w:wordWrap w:val="0"/>
              <w:topLinePunct/>
              <w:adjustRightInd w:val="0"/>
              <w:snapToGrid w:val="0"/>
              <w:jc w:val="center"/>
              <w:rPr>
                <w:rFonts w:ascii="宋体" w:hAnsi="宋体" w:cs="宋体"/>
                <w:color w:val="auto"/>
                <w:sz w:val="20"/>
                <w:szCs w:val="20"/>
                <w:highlight w:val="none"/>
              </w:rPr>
            </w:pPr>
            <w:r>
              <w:rPr>
                <w:rFonts w:hint="eastAsia" w:ascii="宋体" w:hAnsi="宋体" w:cs="宋体"/>
                <w:color w:val="auto"/>
                <w:kern w:val="1"/>
                <w:sz w:val="20"/>
                <w:szCs w:val="20"/>
                <w:highlight w:val="none"/>
              </w:rPr>
              <w:t>4分</w:t>
            </w:r>
          </w:p>
        </w:tc>
        <w:tc>
          <w:tcPr>
            <w:tcW w:w="4120" w:type="pct"/>
            <w:vAlign w:val="center"/>
          </w:tcPr>
          <w:p>
            <w:pPr>
              <w:pStyle w:val="412"/>
              <w:numPr>
                <w:ilvl w:val="0"/>
                <w:numId w:val="2"/>
              </w:numPr>
              <w:wordWrap w:val="0"/>
              <w:topLinePunct/>
              <w:adjustRightInd w:val="0"/>
              <w:snapToGrid w:val="0"/>
              <w:spacing w:line="360" w:lineRule="exact"/>
              <w:rPr>
                <w:rFonts w:ascii="宋体" w:hAnsi="宋体" w:eastAsia="宋体" w:cs="宋体"/>
                <w:snapToGrid w:val="0"/>
                <w:color w:val="auto"/>
                <w:kern w:val="0"/>
                <w:sz w:val="20"/>
                <w:szCs w:val="20"/>
                <w:highlight w:val="none"/>
              </w:rPr>
            </w:pPr>
            <w:r>
              <w:rPr>
                <w:rFonts w:hint="eastAsia" w:ascii="宋体" w:hAnsi="宋体" w:eastAsia="宋体" w:cs="宋体"/>
                <w:snapToGrid w:val="0"/>
                <w:color w:val="auto"/>
                <w:kern w:val="0"/>
                <w:sz w:val="20"/>
                <w:szCs w:val="20"/>
                <w:highlight w:val="none"/>
              </w:rPr>
              <w:t>具有电子或通信类高级工程师证书的，计</w:t>
            </w:r>
            <w:ins w:id="247" w:author="V2227A" w:date="2024-07-15T19:11:00Z">
              <w:r>
                <w:rPr>
                  <w:rFonts w:ascii="宋体" w:hAnsi="宋体" w:eastAsia="宋体" w:cs="宋体"/>
                  <w:snapToGrid w:val="0"/>
                  <w:color w:val="auto"/>
                  <w:kern w:val="0"/>
                  <w:sz w:val="20"/>
                  <w:szCs w:val="20"/>
                  <w:highlight w:val="none"/>
                </w:rPr>
                <w:t>2</w:t>
              </w:r>
            </w:ins>
            <w:del w:id="248" w:author="V2227A" w:date="2024-07-15T19:11:00Z">
              <w:r>
                <w:rPr>
                  <w:rFonts w:hint="eastAsia" w:ascii="宋体" w:hAnsi="宋体" w:eastAsia="宋体" w:cs="宋体"/>
                  <w:snapToGrid w:val="0"/>
                  <w:color w:val="auto"/>
                  <w:kern w:val="0"/>
                  <w:sz w:val="20"/>
                  <w:szCs w:val="20"/>
                  <w:highlight w:val="none"/>
                </w:rPr>
                <w:delText>1</w:delText>
              </w:r>
            </w:del>
            <w:r>
              <w:rPr>
                <w:rFonts w:hint="eastAsia" w:ascii="宋体" w:hAnsi="宋体" w:eastAsia="宋体" w:cs="宋体"/>
                <w:snapToGrid w:val="0"/>
                <w:color w:val="auto"/>
                <w:kern w:val="0"/>
                <w:sz w:val="20"/>
                <w:szCs w:val="20"/>
                <w:highlight w:val="none"/>
              </w:rPr>
              <w:t>分；</w:t>
            </w:r>
          </w:p>
          <w:p>
            <w:pPr>
              <w:pStyle w:val="412"/>
              <w:numPr>
                <w:ilvl w:val="0"/>
                <w:numId w:val="2"/>
              </w:numPr>
              <w:wordWrap w:val="0"/>
              <w:topLinePunct/>
              <w:adjustRightInd w:val="0"/>
              <w:snapToGrid w:val="0"/>
              <w:spacing w:line="360" w:lineRule="exact"/>
              <w:rPr>
                <w:del w:id="249" w:author="V2227A" w:date="2024-07-15T19:10:00Z"/>
                <w:rFonts w:ascii="宋体" w:hAnsi="宋体" w:eastAsia="宋体" w:cs="宋体"/>
                <w:color w:val="auto"/>
                <w:sz w:val="20"/>
                <w:szCs w:val="20"/>
                <w:highlight w:val="none"/>
              </w:rPr>
            </w:pPr>
            <w:del w:id="250" w:author="V2227A" w:date="2024-07-15T19:11:00Z">
              <w:r>
                <w:rPr>
                  <w:rFonts w:hint="eastAsia" w:ascii="宋体" w:hAnsi="宋体" w:eastAsia="宋体" w:cs="宋体"/>
                  <w:snapToGrid w:val="0"/>
                  <w:color w:val="auto"/>
                  <w:kern w:val="0"/>
                  <w:sz w:val="20"/>
                  <w:szCs w:val="20"/>
                  <w:highlight w:val="none"/>
                </w:rPr>
                <w:delText>具有注册一级建造师（通信与</w:delText>
              </w:r>
            </w:del>
            <w:del w:id="251" w:author="V2227A" w:date="2024-07-15T19:10:00Z">
              <w:r>
                <w:rPr>
                  <w:rFonts w:hint="eastAsia" w:ascii="宋体" w:hAnsi="宋体" w:eastAsia="宋体" w:cs="宋体"/>
                  <w:snapToGrid w:val="0"/>
                  <w:color w:val="auto"/>
                  <w:kern w:val="0"/>
                  <w:sz w:val="20"/>
                  <w:szCs w:val="20"/>
                  <w:highlight w:val="none"/>
                </w:rPr>
                <w:delText>广电工程）证书的，计1.5分；</w:delText>
              </w:r>
            </w:del>
          </w:p>
          <w:p>
            <w:pPr>
              <w:pStyle w:val="412"/>
              <w:numPr>
                <w:ilvl w:val="0"/>
                <w:numId w:val="2"/>
              </w:numPr>
              <w:wordWrap w:val="0"/>
              <w:topLinePunct/>
              <w:adjustRightInd w:val="0"/>
              <w:snapToGrid w:val="0"/>
              <w:spacing w:line="360" w:lineRule="exact"/>
              <w:rPr>
                <w:rFonts w:ascii="宋体" w:hAnsi="宋体" w:eastAsia="宋体" w:cs="宋体"/>
                <w:color w:val="auto"/>
                <w:sz w:val="20"/>
                <w:szCs w:val="20"/>
                <w:highlight w:val="none"/>
              </w:rPr>
              <w:pPrChange w:id="252" w:author="V2227A" w:date="2024-07-15T19:10:00Z">
                <w:pPr>
                  <w:pStyle w:val="412"/>
                  <w:wordWrap w:val="0"/>
                  <w:topLinePunct/>
                  <w:adjustRightInd w:val="0"/>
                  <w:snapToGrid w:val="0"/>
                  <w:spacing w:line="360" w:lineRule="exact"/>
                </w:pPr>
              </w:pPrChange>
            </w:pPr>
            <w:r>
              <w:rPr>
                <w:rFonts w:hint="eastAsia" w:ascii="宋体" w:hAnsi="宋体" w:eastAsia="宋体" w:cs="宋体"/>
                <w:snapToGrid w:val="0"/>
                <w:color w:val="auto"/>
                <w:kern w:val="0"/>
                <w:sz w:val="20"/>
                <w:szCs w:val="20"/>
                <w:highlight w:val="none"/>
              </w:rPr>
              <w:t>具有高级信息系统项目管理师证书的，计</w:t>
            </w:r>
            <w:ins w:id="253" w:author="V2227A" w:date="2024-07-15T19:11:00Z">
              <w:r>
                <w:rPr>
                  <w:rFonts w:ascii="宋体" w:hAnsi="宋体" w:eastAsia="宋体" w:cs="宋体"/>
                  <w:snapToGrid w:val="0"/>
                  <w:color w:val="auto"/>
                  <w:kern w:val="0"/>
                  <w:sz w:val="20"/>
                  <w:szCs w:val="20"/>
                  <w:highlight w:val="none"/>
                </w:rPr>
                <w:t>2</w:t>
              </w:r>
            </w:ins>
            <w:del w:id="254" w:author="V2227A" w:date="2024-07-15T19:11:00Z">
              <w:r>
                <w:rPr>
                  <w:rFonts w:hint="eastAsia" w:ascii="宋体" w:hAnsi="宋体" w:eastAsia="宋体" w:cs="宋体"/>
                  <w:snapToGrid w:val="0"/>
                  <w:color w:val="auto"/>
                  <w:kern w:val="0"/>
                  <w:sz w:val="20"/>
                  <w:szCs w:val="20"/>
                  <w:highlight w:val="none"/>
                </w:rPr>
                <w:delText>1.5</w:delText>
              </w:r>
            </w:del>
            <w:r>
              <w:rPr>
                <w:rFonts w:hint="eastAsia" w:ascii="宋体" w:hAnsi="宋体" w:eastAsia="宋体" w:cs="宋体"/>
                <w:snapToGrid w:val="0"/>
                <w:color w:val="auto"/>
                <w:kern w:val="0"/>
                <w:sz w:val="20"/>
                <w:szCs w:val="20"/>
                <w:highlight w:val="none"/>
              </w:rPr>
              <w:t>分。</w:t>
            </w:r>
          </w:p>
          <w:p>
            <w:pPr>
              <w:pStyle w:val="412"/>
              <w:wordWrap w:val="0"/>
              <w:topLinePunct/>
              <w:adjustRightInd w:val="0"/>
              <w:snapToGrid w:val="0"/>
              <w:spacing w:line="360" w:lineRule="exact"/>
              <w:rPr>
                <w:rFonts w:ascii="宋体" w:hAnsi="宋体" w:eastAsia="宋体" w:cs="宋体"/>
                <w:color w:val="auto"/>
                <w:sz w:val="20"/>
                <w:szCs w:val="20"/>
                <w:highlight w:val="none"/>
              </w:rPr>
            </w:pPr>
            <w:r>
              <w:rPr>
                <w:rFonts w:hint="eastAsia" w:ascii="宋体" w:hAnsi="宋体" w:eastAsia="宋体" w:cs="宋体"/>
                <w:snapToGrid w:val="0"/>
                <w:color w:val="auto"/>
                <w:kern w:val="0"/>
                <w:sz w:val="20"/>
                <w:szCs w:val="20"/>
                <w:highlight w:val="none"/>
              </w:rPr>
              <w:t>本项满分4分。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Merge w:val="continue"/>
            <w:vAlign w:val="center"/>
          </w:tcPr>
          <w:p>
            <w:pPr>
              <w:widowControl/>
              <w:wordWrap w:val="0"/>
              <w:topLinePunct/>
              <w:adjustRightInd w:val="0"/>
              <w:snapToGrid w:val="0"/>
              <w:jc w:val="center"/>
              <w:rPr>
                <w:rFonts w:ascii="宋体" w:hAnsi="宋体" w:cs="宋体"/>
                <w:color w:val="auto"/>
                <w:kern w:val="1"/>
                <w:sz w:val="20"/>
                <w:szCs w:val="20"/>
                <w:highlight w:val="none"/>
              </w:rPr>
            </w:pPr>
          </w:p>
        </w:tc>
        <w:tc>
          <w:tcPr>
            <w:tcW w:w="504" w:type="pct"/>
            <w:vAlign w:val="center"/>
          </w:tcPr>
          <w:p>
            <w:pPr>
              <w:wordWrap w:val="0"/>
              <w:topLinePunct/>
              <w:adjustRightInd w:val="0"/>
              <w:snapToGrid w:val="0"/>
              <w:jc w:val="center"/>
              <w:rPr>
                <w:rFonts w:ascii="宋体" w:hAnsi="宋体" w:cs="宋体"/>
                <w:color w:val="auto"/>
                <w:kern w:val="1"/>
                <w:sz w:val="20"/>
                <w:szCs w:val="20"/>
                <w:highlight w:val="none"/>
              </w:rPr>
            </w:pPr>
            <w:r>
              <w:rPr>
                <w:rFonts w:hint="eastAsia" w:ascii="宋体" w:hAnsi="宋体" w:cs="宋体"/>
                <w:color w:val="auto"/>
                <w:kern w:val="1"/>
                <w:sz w:val="20"/>
                <w:szCs w:val="20"/>
                <w:highlight w:val="none"/>
              </w:rPr>
              <w:t>业绩</w:t>
            </w:r>
          </w:p>
          <w:p>
            <w:pPr>
              <w:wordWrap w:val="0"/>
              <w:topLinePunct/>
              <w:adjustRightInd w:val="0"/>
              <w:snapToGrid w:val="0"/>
              <w:jc w:val="center"/>
              <w:rPr>
                <w:rFonts w:ascii="宋体" w:hAnsi="宋体" w:cs="宋体"/>
                <w:color w:val="auto"/>
                <w:kern w:val="1"/>
                <w:sz w:val="20"/>
                <w:szCs w:val="20"/>
                <w:highlight w:val="none"/>
              </w:rPr>
            </w:pPr>
          </w:p>
          <w:p>
            <w:pPr>
              <w:wordWrap w:val="0"/>
              <w:topLinePunct/>
              <w:adjustRightInd w:val="0"/>
              <w:snapToGrid w:val="0"/>
              <w:jc w:val="center"/>
              <w:rPr>
                <w:rFonts w:ascii="宋体" w:hAnsi="宋体" w:cs="宋体"/>
                <w:color w:val="auto"/>
                <w:sz w:val="20"/>
                <w:szCs w:val="20"/>
                <w:highlight w:val="none"/>
              </w:rPr>
            </w:pPr>
            <w:r>
              <w:rPr>
                <w:rFonts w:hint="eastAsia" w:ascii="宋体" w:hAnsi="宋体" w:cs="宋体"/>
                <w:color w:val="auto"/>
                <w:kern w:val="1"/>
                <w:sz w:val="20"/>
                <w:szCs w:val="20"/>
                <w:highlight w:val="none"/>
              </w:rPr>
              <w:t>6分</w:t>
            </w:r>
          </w:p>
        </w:tc>
        <w:tc>
          <w:tcPr>
            <w:tcW w:w="4120" w:type="pct"/>
            <w:vAlign w:val="center"/>
          </w:tcPr>
          <w:p>
            <w:pPr>
              <w:numPr>
                <w:ilvl w:val="0"/>
                <w:numId w:val="3"/>
              </w:numPr>
              <w:wordWrap w:val="0"/>
              <w:topLinePunct/>
              <w:adjustRightInd w:val="0"/>
              <w:snapToGrid w:val="0"/>
              <w:spacing w:line="360" w:lineRule="exact"/>
              <w:jc w:val="left"/>
              <w:rPr>
                <w:rFonts w:ascii="宋体" w:hAnsi="宋体" w:cs="宋体"/>
                <w:color w:val="auto"/>
                <w:sz w:val="20"/>
                <w:szCs w:val="20"/>
                <w:highlight w:val="none"/>
              </w:rPr>
            </w:pPr>
            <w:r>
              <w:rPr>
                <w:rFonts w:hint="eastAsia" w:ascii="宋体" w:hAnsi="宋体" w:cs="宋体"/>
                <w:color w:val="auto"/>
                <w:sz w:val="20"/>
                <w:szCs w:val="20"/>
                <w:highlight w:val="none"/>
              </w:rPr>
              <w:t>近3年内（2021年1月1日起，以交工时间为准，下同），完成过一项包含会议系统的类似业绩，计3分。</w:t>
            </w:r>
          </w:p>
          <w:p>
            <w:pPr>
              <w:numPr>
                <w:ilvl w:val="0"/>
                <w:numId w:val="3"/>
              </w:numPr>
              <w:wordWrap w:val="0"/>
              <w:topLinePunct/>
              <w:adjustRightInd w:val="0"/>
              <w:snapToGrid w:val="0"/>
              <w:spacing w:line="360" w:lineRule="exact"/>
              <w:jc w:val="left"/>
              <w:rPr>
                <w:rFonts w:ascii="宋体" w:hAnsi="宋体" w:cs="宋体"/>
                <w:color w:val="auto"/>
                <w:sz w:val="20"/>
                <w:szCs w:val="20"/>
                <w:highlight w:val="none"/>
              </w:rPr>
            </w:pPr>
            <w:r>
              <w:rPr>
                <w:rFonts w:hint="eastAsia" w:ascii="宋体" w:hAnsi="宋体" w:cs="宋体"/>
                <w:color w:val="auto"/>
                <w:sz w:val="20"/>
                <w:szCs w:val="20"/>
                <w:highlight w:val="none"/>
              </w:rPr>
              <w:t>近3年内，有政府、国企信息化项目业绩的，计3分。</w:t>
            </w:r>
          </w:p>
          <w:p>
            <w:pPr>
              <w:wordWrap w:val="0"/>
              <w:topLinePunct/>
              <w:adjustRightInd w:val="0"/>
              <w:snapToGrid w:val="0"/>
              <w:spacing w:line="360" w:lineRule="exact"/>
              <w:jc w:val="left"/>
              <w:rPr>
                <w:rFonts w:ascii="宋体" w:hAnsi="宋体" w:cs="宋体"/>
                <w:color w:val="auto"/>
                <w:sz w:val="20"/>
                <w:szCs w:val="20"/>
                <w:highlight w:val="none"/>
              </w:rPr>
            </w:pPr>
            <w:r>
              <w:rPr>
                <w:rFonts w:hint="eastAsia" w:ascii="宋体" w:hAnsi="宋体" w:cs="宋体"/>
                <w:snapToGrid w:val="0"/>
                <w:color w:val="auto"/>
                <w:kern w:val="0"/>
                <w:sz w:val="20"/>
                <w:szCs w:val="20"/>
                <w:highlight w:val="none"/>
              </w:rPr>
              <w:t>同一份合同不重复计分，本项满分6分。</w:t>
            </w:r>
          </w:p>
          <w:p>
            <w:pPr>
              <w:pStyle w:val="412"/>
              <w:wordWrap w:val="0"/>
              <w:topLinePunct/>
              <w:adjustRightInd w:val="0"/>
              <w:snapToGrid w:val="0"/>
              <w:spacing w:line="360" w:lineRule="exact"/>
              <w:rPr>
                <w:rFonts w:ascii="宋体" w:hAnsi="宋体" w:eastAsia="宋体" w:cs="宋体"/>
                <w:color w:val="auto"/>
                <w:sz w:val="20"/>
                <w:szCs w:val="20"/>
                <w:highlight w:val="none"/>
              </w:rPr>
            </w:pPr>
            <w:r>
              <w:rPr>
                <w:rFonts w:hint="eastAsia" w:ascii="宋体" w:hAnsi="宋体" w:eastAsia="宋体" w:cs="宋体"/>
                <w:b/>
                <w:bCs/>
                <w:color w:val="auto"/>
                <w:sz w:val="20"/>
                <w:szCs w:val="20"/>
                <w:highlight w:val="none"/>
              </w:rPr>
              <w:t>注：证明材料包括但不限于合同、交工验收证明材料</w:t>
            </w:r>
            <w:r>
              <w:rPr>
                <w:rFonts w:hint="eastAsia" w:ascii="宋体" w:hAnsi="宋体" w:eastAsia="宋体" w:cs="宋体"/>
                <w:b/>
                <w:bCs/>
                <w:color w:val="auto"/>
                <w:kern w:val="1"/>
                <w:sz w:val="20"/>
                <w:szCs w:val="20"/>
                <w:highlight w:val="none"/>
              </w:rPr>
              <w:t>，</w:t>
            </w:r>
            <w:r>
              <w:rPr>
                <w:rFonts w:hint="eastAsia" w:ascii="宋体" w:hAnsi="宋体" w:eastAsia="宋体" w:cs="宋体"/>
                <w:b/>
                <w:bCs/>
                <w:color w:val="auto"/>
                <w:sz w:val="20"/>
                <w:szCs w:val="20"/>
                <w:highlight w:val="none"/>
              </w:rPr>
              <w:t>如以上证明材料中无法体现关键评审因素的，须另提供业主单位出具的证明材料，</w:t>
            </w:r>
          </w:p>
        </w:tc>
      </w:tr>
    </w:tbl>
    <w:p>
      <w:pPr>
        <w:wordWrap w:val="0"/>
        <w:topLinePunct/>
        <w:adjustRightInd w:val="0"/>
        <w:snapToGrid w:val="0"/>
        <w:spacing w:line="360" w:lineRule="exact"/>
        <w:jc w:val="center"/>
        <w:rPr>
          <w:rFonts w:ascii="宋体" w:hAnsi="宋体" w:cs="宋体"/>
          <w:color w:val="auto"/>
          <w:sz w:val="20"/>
          <w:szCs w:val="20"/>
          <w:highlight w:val="none"/>
        </w:rPr>
      </w:pPr>
      <w:r>
        <w:rPr>
          <w:rFonts w:hint="eastAsia" w:ascii="宋体" w:hAnsi="宋体" w:cs="宋体"/>
          <w:color w:val="auto"/>
          <w:sz w:val="20"/>
          <w:szCs w:val="20"/>
          <w:highlight w:val="none"/>
        </w:rPr>
        <w:br w:type="page"/>
      </w:r>
    </w:p>
    <w:tbl>
      <w:tblPr>
        <w:tblStyle w:val="37"/>
        <w:tblW w:w="49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767"/>
        <w:gridCol w:w="8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0" w:hRule="atLeast"/>
          <w:jc w:val="center"/>
        </w:trPr>
        <w:tc>
          <w:tcPr>
            <w:tcW w:w="372" w:type="pct"/>
            <w:vMerge w:val="restart"/>
            <w:vAlign w:val="center"/>
          </w:tcPr>
          <w:p>
            <w:pPr>
              <w:wordWrap w:val="0"/>
              <w:topLinePunct/>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技术</w:t>
            </w:r>
          </w:p>
          <w:p>
            <w:pPr>
              <w:wordWrap w:val="0"/>
              <w:topLinePunct/>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部分</w:t>
            </w:r>
          </w:p>
          <w:p>
            <w:pPr>
              <w:wordWrap w:val="0"/>
              <w:topLinePunct/>
              <w:adjustRightInd w:val="0"/>
              <w:snapToGrid w:val="0"/>
              <w:jc w:val="center"/>
              <w:rPr>
                <w:rFonts w:ascii="宋体" w:hAnsi="宋体" w:cs="宋体"/>
                <w:color w:val="auto"/>
                <w:sz w:val="20"/>
                <w:szCs w:val="20"/>
                <w:highlight w:val="none"/>
              </w:rPr>
            </w:pPr>
          </w:p>
          <w:p>
            <w:pPr>
              <w:wordWrap w:val="0"/>
              <w:topLinePunct/>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45分</w:t>
            </w:r>
          </w:p>
        </w:tc>
        <w:tc>
          <w:tcPr>
            <w:tcW w:w="402" w:type="pct"/>
            <w:vAlign w:val="center"/>
          </w:tcPr>
          <w:p>
            <w:pPr>
              <w:wordWrap w:val="0"/>
              <w:topLinePunct/>
              <w:adjustRightInd w:val="0"/>
              <w:snapToGrid w:val="0"/>
              <w:jc w:val="center"/>
              <w:rPr>
                <w:rFonts w:ascii="宋体" w:hAnsi="宋体" w:cs="宋体"/>
                <w:snapToGrid w:val="0"/>
                <w:color w:val="auto"/>
                <w:kern w:val="0"/>
                <w:sz w:val="20"/>
                <w:szCs w:val="20"/>
                <w:highlight w:val="none"/>
              </w:rPr>
            </w:pPr>
            <w:r>
              <w:rPr>
                <w:rFonts w:hint="eastAsia" w:ascii="宋体" w:hAnsi="宋体" w:cs="宋体"/>
                <w:color w:val="auto"/>
                <w:sz w:val="20"/>
                <w:szCs w:val="20"/>
                <w:highlight w:val="none"/>
              </w:rPr>
              <w:t>技术指标响应情况</w:t>
            </w:r>
          </w:p>
          <w:p>
            <w:pPr>
              <w:wordWrap w:val="0"/>
              <w:topLinePunct/>
              <w:adjustRightInd w:val="0"/>
              <w:snapToGrid w:val="0"/>
              <w:jc w:val="center"/>
              <w:rPr>
                <w:rFonts w:ascii="宋体" w:hAnsi="宋体" w:cs="宋体"/>
                <w:snapToGrid w:val="0"/>
                <w:color w:val="auto"/>
                <w:kern w:val="0"/>
                <w:sz w:val="20"/>
                <w:szCs w:val="20"/>
                <w:highlight w:val="none"/>
              </w:rPr>
            </w:pPr>
          </w:p>
          <w:p>
            <w:pPr>
              <w:wordWrap w:val="0"/>
              <w:topLinePunct/>
              <w:adjustRightInd w:val="0"/>
              <w:snapToGrid w:val="0"/>
              <w:jc w:val="center"/>
              <w:rPr>
                <w:rFonts w:ascii="宋体" w:hAnsi="宋体" w:cs="宋体"/>
                <w:color w:val="auto"/>
                <w:sz w:val="20"/>
                <w:szCs w:val="20"/>
                <w:highlight w:val="none"/>
              </w:rPr>
            </w:pPr>
            <w:r>
              <w:rPr>
                <w:rFonts w:hint="eastAsia" w:ascii="宋体" w:hAnsi="宋体" w:cs="宋体"/>
                <w:snapToGrid w:val="0"/>
                <w:color w:val="auto"/>
                <w:kern w:val="0"/>
                <w:sz w:val="20"/>
                <w:szCs w:val="20"/>
                <w:highlight w:val="none"/>
              </w:rPr>
              <w:t>30分</w:t>
            </w:r>
          </w:p>
        </w:tc>
        <w:tc>
          <w:tcPr>
            <w:tcW w:w="4224" w:type="pct"/>
            <w:vAlign w:val="center"/>
          </w:tcPr>
          <w:p>
            <w:pPr>
              <w:adjustRightInd w:val="0"/>
              <w:snapToGrid w:val="0"/>
              <w:spacing w:line="360" w:lineRule="exact"/>
              <w:jc w:val="left"/>
              <w:rPr>
                <w:rFonts w:ascii="宋体" w:hAnsi="宋体" w:cs="宋体"/>
                <w:color w:val="auto"/>
                <w:sz w:val="20"/>
                <w:szCs w:val="20"/>
                <w:highlight w:val="none"/>
              </w:rPr>
            </w:pPr>
            <w:r>
              <w:rPr>
                <w:rFonts w:hint="eastAsia" w:ascii="宋体" w:hAnsi="宋体" w:cs="宋体"/>
                <w:color w:val="auto"/>
                <w:sz w:val="20"/>
                <w:szCs w:val="20"/>
                <w:highlight w:val="none"/>
              </w:rPr>
              <w:t>1、投标产品技术指标、参数完全满足竞争性磋商比选文件要求的得30分。</w:t>
            </w:r>
          </w:p>
          <w:p>
            <w:pPr>
              <w:adjustRightInd w:val="0"/>
              <w:snapToGrid w:val="0"/>
              <w:spacing w:line="360" w:lineRule="exact"/>
              <w:jc w:val="left"/>
              <w:rPr>
                <w:rFonts w:ascii="宋体" w:hAnsi="宋体" w:cs="宋体"/>
                <w:color w:val="auto"/>
                <w:sz w:val="20"/>
                <w:szCs w:val="20"/>
                <w:highlight w:val="none"/>
              </w:rPr>
            </w:pPr>
            <w:r>
              <w:rPr>
                <w:rFonts w:hint="eastAsia" w:ascii="宋体" w:hAnsi="宋体" w:cs="宋体"/>
                <w:color w:val="auto"/>
                <w:sz w:val="20"/>
                <w:szCs w:val="20"/>
                <w:highlight w:val="none"/>
              </w:rPr>
              <w:t>2、标注“</w:t>
            </w:r>
            <w:r>
              <w:rPr>
                <w:rFonts w:hint="eastAsia" w:ascii="宋体" w:hAnsi="宋体" w:cs="宋体"/>
                <w:color w:val="auto"/>
                <w:kern w:val="0"/>
                <w:sz w:val="20"/>
                <w:szCs w:val="20"/>
                <w:highlight w:val="none"/>
              </w:rPr>
              <w:t>▲</w:t>
            </w:r>
            <w:r>
              <w:rPr>
                <w:rFonts w:hint="eastAsia" w:ascii="宋体" w:hAnsi="宋体" w:cs="宋体"/>
                <w:color w:val="auto"/>
                <w:sz w:val="20"/>
                <w:szCs w:val="20"/>
                <w:highlight w:val="none"/>
              </w:rPr>
              <w:t>”的参数一项不满足扣1分，扣完为止。</w:t>
            </w:r>
          </w:p>
          <w:p>
            <w:pPr>
              <w:adjustRightInd w:val="0"/>
              <w:snapToGrid w:val="0"/>
              <w:spacing w:line="360" w:lineRule="exact"/>
              <w:jc w:val="left"/>
              <w:rPr>
                <w:rFonts w:ascii="宋体" w:hAnsi="宋体" w:cs="宋体"/>
                <w:color w:val="auto"/>
                <w:sz w:val="20"/>
                <w:szCs w:val="20"/>
                <w:highlight w:val="none"/>
              </w:rPr>
            </w:pPr>
            <w:r>
              <w:rPr>
                <w:rFonts w:hint="eastAsia" w:ascii="宋体" w:hAnsi="宋体" w:cs="宋体"/>
                <w:color w:val="auto"/>
                <w:sz w:val="20"/>
                <w:szCs w:val="20"/>
                <w:highlight w:val="none"/>
              </w:rPr>
              <w:t>3、标注“★”的参数是核心参数，必须满足，如供应商未提供满足要求的证明文件的,</w:t>
            </w:r>
            <w:r>
              <w:rPr>
                <w:rFonts w:hint="eastAsia" w:ascii="宋体" w:hAnsi="宋体" w:cs="宋体"/>
                <w:b/>
                <w:bCs/>
                <w:color w:val="auto"/>
                <w:kern w:val="0"/>
                <w:sz w:val="20"/>
                <w:szCs w:val="20"/>
                <w:highlight w:val="none"/>
              </w:rPr>
              <w:t>视为无效投标</w:t>
            </w:r>
            <w:r>
              <w:rPr>
                <w:rFonts w:hint="eastAsia" w:ascii="宋体" w:hAnsi="宋体" w:cs="宋体"/>
                <w:color w:val="auto"/>
                <w:sz w:val="20"/>
                <w:szCs w:val="20"/>
                <w:highlight w:val="none"/>
              </w:rPr>
              <w:t>。</w:t>
            </w:r>
          </w:p>
          <w:p>
            <w:pPr>
              <w:wordWrap w:val="0"/>
              <w:topLinePunct/>
              <w:adjustRightInd w:val="0"/>
              <w:snapToGrid w:val="0"/>
              <w:spacing w:line="360" w:lineRule="exact"/>
              <w:jc w:val="left"/>
              <w:rPr>
                <w:rFonts w:ascii="宋体" w:hAnsi="宋体" w:cs="宋体"/>
                <w:b/>
                <w:bCs/>
                <w:color w:val="auto"/>
                <w:sz w:val="20"/>
                <w:szCs w:val="20"/>
                <w:highlight w:val="none"/>
              </w:rPr>
            </w:pPr>
            <w:r>
              <w:rPr>
                <w:rFonts w:hint="eastAsia" w:ascii="宋体" w:hAnsi="宋体" w:cs="宋体"/>
                <w:b/>
                <w:bCs/>
                <w:color w:val="auto"/>
                <w:sz w:val="20"/>
                <w:szCs w:val="20"/>
                <w:highlight w:val="none"/>
              </w:rPr>
              <w:t>注：竞争性磋商比选文件要求提供的产品证明材料，如果没有提供、部分提供或错误提供的，</w:t>
            </w:r>
            <w:r>
              <w:rPr>
                <w:rFonts w:hint="eastAsia" w:ascii="宋体" w:hAnsi="宋体" w:cs="宋体"/>
                <w:color w:val="auto"/>
                <w:sz w:val="20"/>
                <w:szCs w:val="20"/>
                <w:highlight w:val="none"/>
              </w:rPr>
              <w:t>“</w:t>
            </w:r>
            <w:r>
              <w:rPr>
                <w:rFonts w:hint="eastAsia" w:ascii="宋体" w:hAnsi="宋体" w:cs="宋体"/>
                <w:color w:val="auto"/>
                <w:kern w:val="0"/>
                <w:sz w:val="20"/>
                <w:szCs w:val="20"/>
                <w:highlight w:val="none"/>
              </w:rPr>
              <w:t>▲</w:t>
            </w:r>
            <w:r>
              <w:rPr>
                <w:rFonts w:hint="eastAsia" w:ascii="宋体" w:hAnsi="宋体" w:cs="宋体"/>
                <w:color w:val="auto"/>
                <w:sz w:val="20"/>
                <w:szCs w:val="20"/>
                <w:highlight w:val="none"/>
              </w:rPr>
              <w:t>”</w:t>
            </w:r>
            <w:r>
              <w:rPr>
                <w:rFonts w:hint="eastAsia" w:ascii="宋体" w:hAnsi="宋体" w:cs="宋体"/>
                <w:b/>
                <w:bCs/>
                <w:color w:val="auto"/>
                <w:sz w:val="20"/>
                <w:szCs w:val="20"/>
                <w:highlight w:val="none"/>
              </w:rPr>
              <w:t>项视为不满足，按要求扣分，带“</w:t>
            </w:r>
            <w:r>
              <w:rPr>
                <w:rFonts w:hint="eastAsia" w:ascii="宋体" w:hAnsi="宋体" w:cs="宋体"/>
                <w:b/>
                <w:bCs/>
                <w:color w:val="auto"/>
                <w:kern w:val="0"/>
                <w:sz w:val="20"/>
                <w:szCs w:val="20"/>
                <w:highlight w:val="none"/>
              </w:rPr>
              <w:t>★</w:t>
            </w:r>
            <w:r>
              <w:rPr>
                <w:rFonts w:hint="eastAsia" w:ascii="宋体" w:hAnsi="宋体" w:cs="宋体"/>
                <w:b/>
                <w:bCs/>
                <w:color w:val="auto"/>
                <w:sz w:val="20"/>
                <w:szCs w:val="20"/>
                <w:highlight w:val="none"/>
              </w:rPr>
              <w:t>”项</w:t>
            </w:r>
            <w:r>
              <w:rPr>
                <w:rFonts w:hint="eastAsia" w:ascii="宋体" w:hAnsi="宋体" w:cs="宋体"/>
                <w:b/>
                <w:bCs/>
                <w:color w:val="auto"/>
                <w:kern w:val="0"/>
                <w:sz w:val="20"/>
                <w:szCs w:val="20"/>
                <w:highlight w:val="none"/>
              </w:rPr>
              <w:t>为必须满足项，不满足视为无效投标</w:t>
            </w:r>
            <w:r>
              <w:rPr>
                <w:rFonts w:hint="eastAsia" w:ascii="宋体" w:hAnsi="宋体" w:cs="宋体"/>
                <w:b/>
                <w:bCs/>
                <w:color w:val="auto"/>
                <w:sz w:val="20"/>
                <w:szCs w:val="20"/>
                <w:highlight w:val="none"/>
              </w:rPr>
              <w:t>。若发现有提供虚假的证明材料的，视为无效投标，上报采购监管部门并追究相关责任。</w:t>
            </w:r>
          </w:p>
          <w:p>
            <w:pPr>
              <w:wordWrap w:val="0"/>
              <w:topLinePunct/>
              <w:adjustRightInd w:val="0"/>
              <w:snapToGrid w:val="0"/>
              <w:spacing w:before="120" w:beforeLines="50" w:line="360" w:lineRule="exact"/>
              <w:jc w:val="left"/>
              <w:rPr>
                <w:rFonts w:ascii="宋体" w:hAnsi="宋体" w:cs="宋体"/>
                <w:color w:val="auto"/>
                <w:sz w:val="20"/>
                <w:szCs w:val="20"/>
                <w:highlight w:val="none"/>
              </w:rPr>
            </w:pPr>
            <w:r>
              <w:rPr>
                <w:rFonts w:hint="eastAsia" w:ascii="宋体" w:hAnsi="宋体" w:cs="宋体"/>
                <w:color w:val="auto"/>
                <w:sz w:val="20"/>
                <w:szCs w:val="20"/>
                <w:highlight w:val="none"/>
              </w:rPr>
              <w:t>附：“</w:t>
            </w:r>
            <w:r>
              <w:rPr>
                <w:rFonts w:hint="eastAsia" w:ascii="宋体" w:hAnsi="宋体" w:cs="宋体"/>
                <w:color w:val="auto"/>
                <w:kern w:val="0"/>
                <w:sz w:val="20"/>
                <w:szCs w:val="20"/>
                <w:highlight w:val="none"/>
              </w:rPr>
              <w:t>★</w:t>
            </w:r>
            <w:r>
              <w:rPr>
                <w:rFonts w:hint="eastAsia" w:ascii="宋体" w:hAnsi="宋体" w:cs="宋体"/>
                <w:color w:val="auto"/>
                <w:sz w:val="20"/>
                <w:szCs w:val="20"/>
                <w:highlight w:val="none"/>
              </w:rPr>
              <w:t>”项、“</w:t>
            </w:r>
            <w:r>
              <w:rPr>
                <w:rFonts w:hint="eastAsia" w:ascii="宋体" w:hAnsi="宋体" w:cs="宋体"/>
                <w:color w:val="auto"/>
                <w:kern w:val="0"/>
                <w:sz w:val="20"/>
                <w:szCs w:val="20"/>
                <w:highlight w:val="none"/>
              </w:rPr>
              <w:t>▲</w:t>
            </w:r>
            <w:r>
              <w:rPr>
                <w:rFonts w:hint="eastAsia" w:ascii="宋体" w:hAnsi="宋体" w:cs="宋体"/>
                <w:color w:val="auto"/>
                <w:sz w:val="20"/>
                <w:szCs w:val="20"/>
                <w:highlight w:val="none"/>
              </w:rPr>
              <w:t>”项参数列表(30▲+3★)：</w:t>
            </w:r>
          </w:p>
          <w:tbl>
            <w:tblPr>
              <w:tblStyle w:val="3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6"/>
              <w:gridCol w:w="6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trPr>
              <w:tc>
                <w:tcPr>
                  <w:tcW w:w="999" w:type="pct"/>
                  <w:shd w:val="clear" w:color="auto" w:fill="auto"/>
                  <w:noWrap/>
                  <w:vAlign w:val="center"/>
                </w:tcPr>
                <w:p>
                  <w:pPr>
                    <w:widowControl/>
                    <w:snapToGrid w:val="0"/>
                    <w:spacing w:line="290" w:lineRule="exact"/>
                    <w:jc w:val="center"/>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LED显示屏</w:t>
                  </w:r>
                </w:p>
                <w:p>
                  <w:pPr>
                    <w:widowControl/>
                    <w:snapToGrid w:val="0"/>
                    <w:spacing w:line="290" w:lineRule="exact"/>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(12▲+3★)</w:t>
                  </w:r>
                </w:p>
              </w:tc>
              <w:tc>
                <w:tcPr>
                  <w:tcW w:w="4000" w:type="pct"/>
                  <w:shd w:val="clear" w:color="auto" w:fill="auto"/>
                  <w:vAlign w:val="center"/>
                </w:tcPr>
                <w:p>
                  <w:pPr>
                    <w:widowControl/>
                    <w:numPr>
                      <w:ilvl w:val="0"/>
                      <w:numId w:val="4"/>
                    </w:numPr>
                    <w:snapToGrid w:val="0"/>
                    <w:spacing w:line="290" w:lineRule="exact"/>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整屏尺寸：宽≥2.88米、高≥1.60米。★像素间距≤1.53mm；</w:t>
                  </w:r>
                </w:p>
                <w:p>
                  <w:pPr>
                    <w:widowControl/>
                    <w:snapToGrid w:val="0"/>
                    <w:spacing w:line="290" w:lineRule="exact"/>
                    <w:textAlignment w:val="center"/>
                    <w:rPr>
                      <w:rStyle w:val="411"/>
                      <w:rFonts w:hint="default"/>
                      <w:color w:val="auto"/>
                      <w:sz w:val="20"/>
                      <w:szCs w:val="20"/>
                      <w:highlight w:val="none"/>
                    </w:rPr>
                  </w:pPr>
                  <w:r>
                    <w:rPr>
                      <w:rStyle w:val="410"/>
                      <w:rFonts w:hint="default"/>
                      <w:color w:val="auto"/>
                      <w:sz w:val="20"/>
                      <w:szCs w:val="20"/>
                      <w:highlight w:val="none"/>
                    </w:rPr>
                    <w:t>2.</w:t>
                  </w:r>
                  <w:r>
                    <w:rPr>
                      <w:rFonts w:hint="eastAsia" w:ascii="宋体" w:hAnsi="宋体" w:cs="宋体"/>
                      <w:color w:val="auto"/>
                      <w:kern w:val="0"/>
                      <w:sz w:val="20"/>
                      <w:szCs w:val="20"/>
                      <w:highlight w:val="none"/>
                    </w:rPr>
                    <w:t>▲</w:t>
                  </w:r>
                  <w:r>
                    <w:rPr>
                      <w:rStyle w:val="410"/>
                      <w:rFonts w:hint="default"/>
                      <w:color w:val="auto"/>
                      <w:sz w:val="20"/>
                      <w:szCs w:val="20"/>
                      <w:highlight w:val="none"/>
                    </w:rPr>
                    <w:t>LED类型：SMD 1212黑灯，1R1G1B；像素密度≥427186点/m2；支持模组、电源、接收卡完全前维护/后维护；</w:t>
                  </w:r>
                  <w:r>
                    <w:rPr>
                      <w:rStyle w:val="410"/>
                      <w:rFonts w:hint="default"/>
                      <w:color w:val="auto"/>
                      <w:sz w:val="20"/>
                      <w:szCs w:val="20"/>
                      <w:highlight w:val="none"/>
                    </w:rPr>
                    <w:br w:type="textWrapping"/>
                  </w:r>
                  <w:r>
                    <w:rPr>
                      <w:rStyle w:val="411"/>
                      <w:rFonts w:hint="default"/>
                      <w:color w:val="auto"/>
                      <w:sz w:val="20"/>
                      <w:szCs w:val="20"/>
                      <w:highlight w:val="none"/>
                    </w:rPr>
                    <w:t>3.★整机采用压铸铝箱体，保证箱体拼接的平整度和密闭防火性；全金属自然散热,无风扇,无孔,防尘、防咬、防霉静音设计；</w:t>
                  </w:r>
                </w:p>
                <w:p>
                  <w:pPr>
                    <w:widowControl/>
                    <w:snapToGrid w:val="0"/>
                    <w:spacing w:line="290" w:lineRule="exact"/>
                    <w:textAlignment w:val="center"/>
                    <w:rPr>
                      <w:rStyle w:val="411"/>
                      <w:rFonts w:hint="default"/>
                      <w:color w:val="auto"/>
                      <w:sz w:val="20"/>
                      <w:szCs w:val="20"/>
                      <w:highlight w:val="none"/>
                    </w:rPr>
                  </w:pPr>
                  <w:r>
                    <w:rPr>
                      <w:rStyle w:val="411"/>
                      <w:rFonts w:hint="default"/>
                      <w:color w:val="auto"/>
                      <w:sz w:val="20"/>
                      <w:szCs w:val="20"/>
                      <w:highlight w:val="none"/>
                    </w:rPr>
                    <w:t>4.★所投LED品牌厂商须为真实制造商，不接受OEM厂家及非LED行业生产企业；采用原厂整机出厂方式供货，提供原厂整机出厂承诺函。</w:t>
                  </w:r>
                </w:p>
                <w:p>
                  <w:pPr>
                    <w:widowControl/>
                    <w:snapToGrid w:val="0"/>
                    <w:spacing w:line="290" w:lineRule="exact"/>
                    <w:textAlignment w:val="center"/>
                    <w:rPr>
                      <w:rStyle w:val="411"/>
                      <w:rFonts w:hint="default"/>
                      <w:color w:val="auto"/>
                      <w:sz w:val="20"/>
                      <w:szCs w:val="20"/>
                      <w:highlight w:val="none"/>
                    </w:rPr>
                  </w:pPr>
                  <w:r>
                    <w:rPr>
                      <w:rStyle w:val="411"/>
                      <w:rFonts w:hint="default"/>
                      <w:color w:val="auto"/>
                      <w:sz w:val="20"/>
                      <w:szCs w:val="20"/>
                      <w:highlight w:val="none"/>
                    </w:rPr>
                    <w:t>5.</w:t>
                  </w:r>
                  <w:r>
                    <w:rPr>
                      <w:rFonts w:hint="eastAsia" w:ascii="宋体" w:hAnsi="宋体" w:cs="宋体"/>
                      <w:color w:val="auto"/>
                      <w:kern w:val="0"/>
                      <w:sz w:val="20"/>
                      <w:szCs w:val="20"/>
                      <w:highlight w:val="none"/>
                    </w:rPr>
                    <w:t>▲</w:t>
                  </w:r>
                  <w:r>
                    <w:rPr>
                      <w:rStyle w:val="411"/>
                      <w:rFonts w:hint="default"/>
                      <w:color w:val="auto"/>
                      <w:sz w:val="20"/>
                      <w:szCs w:val="20"/>
                      <w:highlight w:val="none"/>
                    </w:rPr>
                    <w:t>LED显示屏厂商主营业务范围必须是“LED显示屏”或“电子显示设备”的生产研发销售，且LED显示屏厂商具有生产厂房，可提供用于生产厂的工业用地证明材料；</w:t>
                  </w:r>
                </w:p>
                <w:p>
                  <w:pPr>
                    <w:widowControl/>
                    <w:snapToGrid w:val="0"/>
                    <w:spacing w:line="290" w:lineRule="exact"/>
                    <w:textAlignment w:val="center"/>
                    <w:rPr>
                      <w:rStyle w:val="411"/>
                      <w:rFonts w:hint="default"/>
                      <w:color w:val="auto"/>
                      <w:sz w:val="20"/>
                      <w:szCs w:val="20"/>
                      <w:highlight w:val="none"/>
                    </w:rPr>
                  </w:pPr>
                  <w:r>
                    <w:rPr>
                      <w:rStyle w:val="410"/>
                      <w:rFonts w:hint="default"/>
                      <w:color w:val="auto"/>
                      <w:sz w:val="20"/>
                      <w:szCs w:val="20"/>
                      <w:highlight w:val="none"/>
                    </w:rPr>
                    <w:t>6.</w:t>
                  </w:r>
                  <w:r>
                    <w:rPr>
                      <w:rFonts w:hint="eastAsia" w:ascii="宋体" w:hAnsi="宋体" w:cs="宋体"/>
                      <w:color w:val="auto"/>
                      <w:kern w:val="0"/>
                      <w:sz w:val="20"/>
                      <w:szCs w:val="20"/>
                      <w:highlight w:val="none"/>
                    </w:rPr>
                    <w:t>▲</w:t>
                  </w:r>
                  <w:r>
                    <w:rPr>
                      <w:rStyle w:val="410"/>
                      <w:rFonts w:hint="default"/>
                      <w:color w:val="auto"/>
                      <w:sz w:val="20"/>
                      <w:szCs w:val="20"/>
                      <w:highlight w:val="none"/>
                    </w:rPr>
                    <w:t>显示单元间隙（mm）≤0.05；显示单元平整度（mm）≤0.05；模组平整度（mm）≤0.05；模组间隙（mm）≤0.05；</w:t>
                  </w:r>
                  <w:r>
                    <w:rPr>
                      <w:rStyle w:val="410"/>
                      <w:rFonts w:hint="default"/>
                      <w:color w:val="auto"/>
                      <w:sz w:val="20"/>
                      <w:szCs w:val="20"/>
                      <w:highlight w:val="none"/>
                    </w:rPr>
                    <w:br w:type="textWrapping"/>
                  </w:r>
                  <w:r>
                    <w:rPr>
                      <w:rStyle w:val="411"/>
                      <w:rFonts w:hint="default"/>
                      <w:color w:val="auto"/>
                      <w:sz w:val="20"/>
                      <w:szCs w:val="20"/>
                      <w:highlight w:val="none"/>
                    </w:rPr>
                    <w:t>7.</w:t>
                  </w:r>
                  <w:r>
                    <w:rPr>
                      <w:rFonts w:hint="eastAsia" w:ascii="宋体" w:hAnsi="宋体" w:cs="宋体"/>
                      <w:color w:val="auto"/>
                      <w:kern w:val="0"/>
                      <w:sz w:val="20"/>
                      <w:szCs w:val="20"/>
                      <w:highlight w:val="none"/>
                    </w:rPr>
                    <w:t>▲</w:t>
                  </w:r>
                  <w:r>
                    <w:rPr>
                      <w:rStyle w:val="411"/>
                      <w:rFonts w:hint="default"/>
                      <w:color w:val="auto"/>
                      <w:sz w:val="20"/>
                      <w:szCs w:val="20"/>
                      <w:highlight w:val="none"/>
                    </w:rPr>
                    <w:t>亮度≥500nit（0-100%无级可调）；亮度均匀性≥98%,色度均匀性：显示屏最高对比度≥10000:1；</w:t>
                  </w:r>
                </w:p>
                <w:p>
                  <w:pPr>
                    <w:widowControl/>
                    <w:snapToGrid w:val="0"/>
                    <w:spacing w:line="290" w:lineRule="exact"/>
                    <w:textAlignment w:val="center"/>
                    <w:rPr>
                      <w:rStyle w:val="411"/>
                      <w:rFonts w:hint="default"/>
                      <w:color w:val="auto"/>
                      <w:sz w:val="20"/>
                      <w:szCs w:val="20"/>
                      <w:highlight w:val="none"/>
                    </w:rPr>
                  </w:pPr>
                  <w:r>
                    <w:rPr>
                      <w:rStyle w:val="411"/>
                      <w:rFonts w:hint="default"/>
                      <w:color w:val="auto"/>
                      <w:sz w:val="20"/>
                      <w:szCs w:val="20"/>
                      <w:highlight w:val="none"/>
                    </w:rPr>
                    <w:t>8.</w:t>
                  </w:r>
                  <w:r>
                    <w:rPr>
                      <w:rFonts w:hint="eastAsia" w:ascii="宋体" w:hAnsi="宋体" w:cs="宋体"/>
                      <w:color w:val="auto"/>
                      <w:kern w:val="0"/>
                      <w:sz w:val="20"/>
                      <w:szCs w:val="20"/>
                      <w:highlight w:val="none"/>
                    </w:rPr>
                    <w:t>▲</w:t>
                  </w:r>
                  <w:r>
                    <w:rPr>
                      <w:rStyle w:val="411"/>
                      <w:rFonts w:hint="default"/>
                      <w:color w:val="auto"/>
                      <w:sz w:val="20"/>
                      <w:szCs w:val="20"/>
                      <w:highlight w:val="none"/>
                    </w:rPr>
                    <w:t>模组支持双电压DC2.8V/DC3.8V或单电压DC4.2V~DC5V供电方式 ；免工具维护，同时有防呆设计，预防接错电源线短路而导致的烧毁模组行为；模块与控制模块采用硬连接设计，接收卡、HUB 板与模块之间采用并列连接，无排线设计</w:t>
                  </w:r>
                </w:p>
                <w:p>
                  <w:pPr>
                    <w:widowControl/>
                    <w:snapToGrid w:val="0"/>
                    <w:spacing w:line="290" w:lineRule="exact"/>
                    <w:textAlignment w:val="center"/>
                    <w:rPr>
                      <w:rStyle w:val="411"/>
                      <w:rFonts w:hint="default"/>
                      <w:color w:val="auto"/>
                      <w:sz w:val="20"/>
                      <w:szCs w:val="20"/>
                      <w:highlight w:val="none"/>
                    </w:rPr>
                  </w:pPr>
                  <w:r>
                    <w:rPr>
                      <w:rStyle w:val="411"/>
                      <w:rFonts w:hint="default"/>
                      <w:color w:val="auto"/>
                      <w:sz w:val="20"/>
                      <w:szCs w:val="20"/>
                      <w:highlight w:val="none"/>
                    </w:rPr>
                    <w:t>9.</w:t>
                  </w:r>
                  <w:r>
                    <w:rPr>
                      <w:rFonts w:hint="eastAsia" w:ascii="宋体" w:hAnsi="宋体" w:cs="宋体"/>
                      <w:color w:val="auto"/>
                      <w:kern w:val="0"/>
                      <w:sz w:val="20"/>
                      <w:szCs w:val="20"/>
                      <w:highlight w:val="none"/>
                    </w:rPr>
                    <w:t>▲</w:t>
                  </w:r>
                  <w:r>
                    <w:rPr>
                      <w:rStyle w:val="411"/>
                      <w:rFonts w:hint="default"/>
                      <w:color w:val="auto"/>
                      <w:sz w:val="20"/>
                      <w:szCs w:val="20"/>
                      <w:highlight w:val="none"/>
                    </w:rPr>
                    <w:t>LED像素失控率≤1/1500000；色域/色准：≥120% NTSC/△E≤0.9 ；色度均匀性在±0.001Cx,Cy 之内；</w:t>
                  </w:r>
                </w:p>
                <w:p>
                  <w:pPr>
                    <w:widowControl/>
                    <w:snapToGrid w:val="0"/>
                    <w:spacing w:line="290" w:lineRule="exact"/>
                    <w:textAlignment w:val="center"/>
                    <w:rPr>
                      <w:rStyle w:val="411"/>
                      <w:rFonts w:hint="default"/>
                      <w:color w:val="auto"/>
                      <w:sz w:val="20"/>
                      <w:szCs w:val="20"/>
                      <w:highlight w:val="none"/>
                    </w:rPr>
                  </w:pPr>
                  <w:r>
                    <w:rPr>
                      <w:rStyle w:val="411"/>
                      <w:rFonts w:hint="default"/>
                      <w:color w:val="auto"/>
                      <w:sz w:val="20"/>
                      <w:szCs w:val="20"/>
                      <w:highlight w:val="none"/>
                    </w:rPr>
                    <w:t>10.</w:t>
                  </w:r>
                  <w:r>
                    <w:rPr>
                      <w:rFonts w:hint="eastAsia" w:ascii="宋体" w:hAnsi="宋体" w:cs="宋体"/>
                      <w:color w:val="auto"/>
                      <w:kern w:val="0"/>
                      <w:sz w:val="20"/>
                      <w:szCs w:val="20"/>
                      <w:highlight w:val="none"/>
                    </w:rPr>
                    <w:t>▲</w:t>
                  </w:r>
                  <w:r>
                    <w:rPr>
                      <w:rStyle w:val="411"/>
                      <w:rFonts w:hint="default"/>
                      <w:color w:val="auto"/>
                      <w:sz w:val="20"/>
                      <w:szCs w:val="20"/>
                      <w:highlight w:val="none"/>
                    </w:rPr>
                    <w:t>采用PWM 灰阶控制技术提升低灰视觉效果，100%亮度时，16bit灰度；70%亮度，16bit灰度；50%亮度，16bit灰度；20%亮度，14bit灰度，显示画面无单列或单行像素失控现象；支持0-100%亮度时，8-16bits灰度自定义设置；</w:t>
                  </w:r>
                </w:p>
                <w:p>
                  <w:pPr>
                    <w:widowControl/>
                    <w:snapToGrid w:val="0"/>
                    <w:spacing w:line="290" w:lineRule="exact"/>
                    <w:textAlignment w:val="center"/>
                    <w:rPr>
                      <w:ins w:id="255" w:author="Administrator" w:date="2024-07-16T00:11:26Z"/>
                      <w:rStyle w:val="411"/>
                      <w:rFonts w:hint="default"/>
                      <w:color w:val="auto"/>
                      <w:sz w:val="20"/>
                      <w:szCs w:val="20"/>
                      <w:highlight w:val="none"/>
                    </w:rPr>
                  </w:pPr>
                  <w:r>
                    <w:rPr>
                      <w:rStyle w:val="411"/>
                      <w:rFonts w:hint="default"/>
                      <w:color w:val="auto"/>
                      <w:sz w:val="20"/>
                      <w:szCs w:val="20"/>
                      <w:highlight w:val="none"/>
                    </w:rPr>
                    <w:t>12.</w:t>
                  </w:r>
                  <w:r>
                    <w:rPr>
                      <w:rFonts w:hint="eastAsia" w:ascii="宋体" w:hAnsi="宋体" w:cs="宋体"/>
                      <w:color w:val="auto"/>
                      <w:kern w:val="0"/>
                      <w:sz w:val="20"/>
                      <w:szCs w:val="20"/>
                      <w:highlight w:val="none"/>
                    </w:rPr>
                    <w:t>▲</w:t>
                  </w:r>
                  <w:r>
                    <w:rPr>
                      <w:rStyle w:val="411"/>
                      <w:rFonts w:hint="default"/>
                      <w:color w:val="auto"/>
                      <w:sz w:val="20"/>
                      <w:szCs w:val="20"/>
                      <w:highlight w:val="none"/>
                    </w:rPr>
                    <w:t>刷新频率≥420-4880可调节，换帧频率：50Hz&amp;60Hz；水平视角≥165°；垂直视角≥165°；相对错位偏差（水平/垂直）≤1.0%；</w:t>
                  </w:r>
                </w:p>
                <w:p>
                  <w:pPr>
                    <w:widowControl/>
                    <w:snapToGrid w:val="0"/>
                    <w:spacing w:line="290" w:lineRule="exact"/>
                    <w:textAlignment w:val="center"/>
                    <w:rPr>
                      <w:rStyle w:val="411"/>
                      <w:rFonts w:hint="default"/>
                      <w:color w:val="auto"/>
                      <w:sz w:val="20"/>
                      <w:szCs w:val="20"/>
                      <w:highlight w:val="none"/>
                    </w:rPr>
                  </w:pPr>
                  <w:ins w:id="256" w:author="Administrator" w:date="2024-07-16T00:11:39Z">
                    <w:r>
                      <w:rPr>
                        <w:rStyle w:val="411"/>
                        <w:rFonts w:hint="default"/>
                        <w:color w:val="auto"/>
                        <w:sz w:val="20"/>
                        <w:szCs w:val="20"/>
                        <w:highlight w:val="none"/>
                      </w:rPr>
                      <w:t>12.</w:t>
                    </w:r>
                  </w:ins>
                  <w:ins w:id="257" w:author="Administrator" w:date="2024-07-16T00:11:39Z">
                    <w:r>
                      <w:rPr>
                        <w:rFonts w:hint="eastAsia" w:ascii="宋体" w:hAnsi="宋体" w:cs="宋体"/>
                        <w:color w:val="auto"/>
                        <w:kern w:val="0"/>
                        <w:sz w:val="20"/>
                        <w:szCs w:val="20"/>
                        <w:highlight w:val="none"/>
                      </w:rPr>
                      <w:t>▲</w:t>
                    </w:r>
                  </w:ins>
                  <w:r>
                    <w:rPr>
                      <w:rStyle w:val="411"/>
                      <w:rFonts w:hint="default"/>
                      <w:color w:val="auto"/>
                      <w:sz w:val="20"/>
                      <w:szCs w:val="20"/>
                      <w:highlight w:val="none"/>
                    </w:rPr>
                    <w:t>人眼视觉健康舒适度VICO指数达到1级；</w:t>
                  </w:r>
                </w:p>
                <w:p>
                  <w:pPr>
                    <w:widowControl/>
                    <w:snapToGrid w:val="0"/>
                    <w:spacing w:line="290" w:lineRule="exact"/>
                    <w:textAlignment w:val="center"/>
                    <w:rPr>
                      <w:ins w:id="258" w:author="Administrator" w:date="2024-07-16T00:07:05Z"/>
                      <w:rStyle w:val="411"/>
                      <w:rFonts w:hint="default"/>
                      <w:color w:val="auto"/>
                      <w:sz w:val="20"/>
                      <w:szCs w:val="20"/>
                      <w:highlight w:val="none"/>
                    </w:rPr>
                  </w:pPr>
                  <w:r>
                    <w:rPr>
                      <w:rStyle w:val="411"/>
                      <w:rFonts w:hint="default"/>
                      <w:color w:val="auto"/>
                      <w:sz w:val="20"/>
                      <w:szCs w:val="20"/>
                      <w:highlight w:val="none"/>
                    </w:rPr>
                    <w:t>1</w:t>
                  </w:r>
                  <w:ins w:id="259" w:author="Administrator" w:date="2024-07-16T00:11:42Z">
                    <w:r>
                      <w:rPr>
                        <w:rStyle w:val="411"/>
                        <w:rFonts w:hint="eastAsia"/>
                        <w:color w:val="auto"/>
                        <w:sz w:val="20"/>
                        <w:szCs w:val="20"/>
                        <w:highlight w:val="none"/>
                        <w:lang w:val="en-US" w:eastAsia="zh-CN"/>
                      </w:rPr>
                      <w:t>3</w:t>
                    </w:r>
                  </w:ins>
                  <w:r>
                    <w:rPr>
                      <w:rStyle w:val="411"/>
                      <w:rFonts w:hint="default"/>
                      <w:color w:val="auto"/>
                      <w:sz w:val="20"/>
                      <w:szCs w:val="20"/>
                      <w:highlight w:val="none"/>
                    </w:rPr>
                    <w:t>.</w:t>
                  </w:r>
                  <w:r>
                    <w:rPr>
                      <w:rFonts w:hint="eastAsia" w:ascii="宋体" w:hAnsi="宋体" w:cs="宋体"/>
                      <w:color w:val="auto"/>
                      <w:kern w:val="0"/>
                      <w:sz w:val="20"/>
                      <w:szCs w:val="20"/>
                      <w:highlight w:val="none"/>
                    </w:rPr>
                    <w:t>▲</w:t>
                  </w:r>
                  <w:r>
                    <w:rPr>
                      <w:rStyle w:val="411"/>
                      <w:rFonts w:hint="default"/>
                      <w:color w:val="auto"/>
                      <w:sz w:val="20"/>
                      <w:szCs w:val="20"/>
                      <w:highlight w:val="none"/>
                    </w:rPr>
                    <w:t>峰值功耗≤385W/㎡，平均功耗≤128W/㎡；带有智能（黑屏）节电功能，开启智能节电功能比没有开启节能50%以上，能源效率值≥3cd/W，睡眠模式功率密度值≤125W/m2</w:t>
                  </w:r>
                </w:p>
                <w:p>
                  <w:pPr>
                    <w:widowControl/>
                    <w:numPr>
                      <w:ilvl w:val="0"/>
                      <w:numId w:val="0"/>
                    </w:numPr>
                    <w:textAlignment w:val="center"/>
                    <w:rPr>
                      <w:ins w:id="260" w:author="Administrator" w:date="2024-07-16T00:07:22Z"/>
                      <w:rStyle w:val="408"/>
                      <w:rFonts w:hint="eastAsia"/>
                      <w:color w:val="auto"/>
                      <w:sz w:val="21"/>
                      <w:szCs w:val="21"/>
                      <w:highlight w:val="none"/>
                      <w:lang w:val="en-US" w:eastAsia="zh-CN"/>
                    </w:rPr>
                  </w:pPr>
                  <w:ins w:id="261" w:author="Administrator" w:date="2024-07-16T00:07:46Z">
                    <w:r>
                      <w:rPr>
                        <w:rFonts w:hint="eastAsia" w:ascii="宋体" w:hAnsi="宋体" w:cs="宋体"/>
                        <w:color w:val="auto"/>
                        <w:kern w:val="0"/>
                        <w:szCs w:val="21"/>
                        <w:highlight w:val="none"/>
                        <w:lang w:val="en-US" w:eastAsia="zh-CN"/>
                      </w:rPr>
                      <w:t>1</w:t>
                    </w:r>
                  </w:ins>
                  <w:ins w:id="262" w:author="Administrator" w:date="2024-07-16T00:11:44Z">
                    <w:r>
                      <w:rPr>
                        <w:rFonts w:hint="eastAsia" w:ascii="宋体" w:hAnsi="宋体" w:cs="宋体"/>
                        <w:color w:val="auto"/>
                        <w:kern w:val="0"/>
                        <w:szCs w:val="21"/>
                        <w:highlight w:val="none"/>
                        <w:lang w:val="en-US" w:eastAsia="zh-CN"/>
                      </w:rPr>
                      <w:t>4</w:t>
                    </w:r>
                  </w:ins>
                  <w:ins w:id="263" w:author="Administrator" w:date="2024-07-16T00:07:48Z">
                    <w:r>
                      <w:rPr>
                        <w:rFonts w:hint="eastAsia" w:ascii="宋体" w:hAnsi="宋体" w:cs="宋体"/>
                        <w:color w:val="auto"/>
                        <w:kern w:val="0"/>
                        <w:szCs w:val="21"/>
                        <w:highlight w:val="none"/>
                        <w:lang w:val="en-US" w:eastAsia="zh-CN"/>
                      </w:rPr>
                      <w:t>.</w:t>
                    </w:r>
                  </w:ins>
                  <w:ins w:id="264" w:author="Administrator" w:date="2024-07-16T00:07:22Z">
                    <w:r>
                      <w:rPr>
                        <w:rFonts w:hint="eastAsia" w:ascii="宋体" w:hAnsi="宋体" w:cs="宋体"/>
                        <w:color w:val="auto"/>
                        <w:kern w:val="0"/>
                        <w:szCs w:val="21"/>
                        <w:highlight w:val="none"/>
                      </w:rPr>
                      <w:t>▲</w:t>
                    </w:r>
                  </w:ins>
                  <w:ins w:id="265" w:author="Administrator" w:date="2024-07-16T00:07:22Z">
                    <w:r>
                      <w:rPr>
                        <w:rStyle w:val="408"/>
                        <w:rFonts w:hint="default"/>
                        <w:color w:val="auto"/>
                        <w:sz w:val="21"/>
                        <w:szCs w:val="21"/>
                        <w:highlight w:val="none"/>
                      </w:rPr>
                      <w:t>具有多点测温系统，分布式供电，电源过压、过流、断电保护以及温度控制系统，一键除湿功能</w:t>
                    </w:r>
                  </w:ins>
                  <w:ins w:id="266" w:author="Administrator" w:date="2024-07-16T00:07:22Z">
                    <w:r>
                      <w:rPr>
                        <w:rStyle w:val="408"/>
                        <w:rFonts w:hint="eastAsia"/>
                        <w:color w:val="auto"/>
                        <w:sz w:val="21"/>
                        <w:szCs w:val="21"/>
                        <w:highlight w:val="none"/>
                        <w:lang w:val="en-US" w:eastAsia="zh-CN"/>
                      </w:rPr>
                      <w:t>,智能（黑屏）节电功能，</w:t>
                    </w:r>
                  </w:ins>
                  <w:ins w:id="267" w:author="Administrator" w:date="2024-07-16T00:07:22Z">
                    <w:r>
                      <w:rPr>
                        <w:rStyle w:val="408"/>
                        <w:rFonts w:hint="default"/>
                        <w:color w:val="auto"/>
                        <w:sz w:val="21"/>
                        <w:szCs w:val="21"/>
                        <w:highlight w:val="none"/>
                      </w:rPr>
                      <w:t>屏体控制器与屏体之间有信号加密传输功能</w:t>
                    </w:r>
                  </w:ins>
                  <w:ins w:id="268" w:author="Administrator" w:date="2024-07-16T00:07:22Z">
                    <w:r>
                      <w:rPr>
                        <w:rStyle w:val="408"/>
                        <w:rFonts w:hint="eastAsia"/>
                        <w:color w:val="auto"/>
                        <w:sz w:val="21"/>
                        <w:szCs w:val="21"/>
                        <w:highlight w:val="none"/>
                        <w:lang w:eastAsia="zh-CN"/>
                      </w:rPr>
                      <w:t>，单点、模块级亮度、色度校正功能，非标准分辨率自动匹配功能，多</w:t>
                    </w:r>
                  </w:ins>
                  <w:ins w:id="269" w:author="Administrator" w:date="2024-07-16T00:07:22Z">
                    <w:r>
                      <w:rPr>
                        <w:rStyle w:val="408"/>
                        <w:rFonts w:hint="eastAsia"/>
                        <w:color w:val="auto"/>
                        <w:sz w:val="21"/>
                        <w:szCs w:val="21"/>
                        <w:highlight w:val="none"/>
                        <w:lang w:val="en-US" w:eastAsia="zh-CN"/>
                      </w:rPr>
                      <w:t>bin色度校正功能</w:t>
                    </w:r>
                  </w:ins>
                </w:p>
                <w:p>
                  <w:pPr>
                    <w:widowControl/>
                    <w:snapToGrid w:val="0"/>
                    <w:spacing w:line="290" w:lineRule="exact"/>
                    <w:textAlignment w:val="center"/>
                    <w:rPr>
                      <w:rStyle w:val="411"/>
                      <w:rFonts w:hint="default"/>
                      <w:color w:val="auto"/>
                      <w:sz w:val="20"/>
                      <w:szCs w:val="20"/>
                      <w:highlight w:val="none"/>
                    </w:rPr>
                  </w:pPr>
                  <w:ins w:id="270" w:author="Administrator" w:date="2024-07-16T00:07:58Z">
                    <w:r>
                      <w:rPr>
                        <w:rStyle w:val="411"/>
                        <w:rFonts w:hint="eastAsia"/>
                        <w:color w:val="auto"/>
                        <w:sz w:val="20"/>
                        <w:szCs w:val="20"/>
                        <w:highlight w:val="none"/>
                        <w:lang w:val="en-US" w:eastAsia="zh-CN"/>
                      </w:rPr>
                      <w:t>1</w:t>
                    </w:r>
                  </w:ins>
                  <w:ins w:id="271" w:author="Administrator" w:date="2024-07-16T00:11:47Z">
                    <w:r>
                      <w:rPr>
                        <w:rStyle w:val="411"/>
                        <w:rFonts w:hint="eastAsia"/>
                        <w:color w:val="auto"/>
                        <w:sz w:val="20"/>
                        <w:szCs w:val="20"/>
                        <w:highlight w:val="none"/>
                        <w:lang w:val="en-US" w:eastAsia="zh-CN"/>
                      </w:rPr>
                      <w:t>5</w:t>
                    </w:r>
                  </w:ins>
                  <w:r>
                    <w:rPr>
                      <w:rStyle w:val="411"/>
                      <w:rFonts w:hint="default"/>
                      <w:color w:val="auto"/>
                      <w:sz w:val="20"/>
                      <w:szCs w:val="20"/>
                      <w:highlight w:val="none"/>
                    </w:rPr>
                    <w:t>.</w:t>
                  </w:r>
                  <w:r>
                    <w:rPr>
                      <w:rFonts w:hint="eastAsia" w:ascii="宋体" w:hAnsi="宋体" w:cs="宋体"/>
                      <w:color w:val="auto"/>
                      <w:kern w:val="0"/>
                      <w:sz w:val="20"/>
                      <w:szCs w:val="20"/>
                      <w:highlight w:val="none"/>
                    </w:rPr>
                    <w:t>▲</w:t>
                  </w:r>
                  <w:r>
                    <w:rPr>
                      <w:rStyle w:val="411"/>
                      <w:rFonts w:hint="default"/>
                      <w:color w:val="auto"/>
                      <w:sz w:val="20"/>
                      <w:szCs w:val="20"/>
                      <w:highlight w:val="none"/>
                    </w:rPr>
                    <w:t>燃烧烟气毒性指数满足BS6853测试R值≤1；抗震等级满足8级要求；蓝光危害辐亮度≤5.7W/m2/sr；样品在10Lux/5600K照度下,对屏幕表面进行光反射率试验,屏幕表面光反射率＜3cd/m²</w:t>
                  </w:r>
                </w:p>
                <w:p>
                  <w:pPr>
                    <w:widowControl/>
                    <w:snapToGrid w:val="0"/>
                    <w:spacing w:line="290" w:lineRule="exact"/>
                    <w:textAlignment w:val="center"/>
                    <w:rPr>
                      <w:rFonts w:ascii="宋体" w:hAnsi="宋体" w:cs="宋体"/>
                      <w:color w:val="auto"/>
                      <w:sz w:val="20"/>
                      <w:szCs w:val="20"/>
                      <w:highlight w:val="none"/>
                    </w:rPr>
                  </w:pPr>
                  <w:ins w:id="272" w:author="Administrator" w:date="2024-07-16T00:08:03Z">
                    <w:r>
                      <w:rPr>
                        <w:rStyle w:val="411"/>
                        <w:rFonts w:hint="eastAsia"/>
                        <w:color w:val="auto"/>
                        <w:sz w:val="20"/>
                        <w:szCs w:val="20"/>
                        <w:highlight w:val="none"/>
                        <w:lang w:val="en-US" w:eastAsia="zh-CN"/>
                      </w:rPr>
                      <w:t>1</w:t>
                    </w:r>
                  </w:ins>
                  <w:ins w:id="273" w:author="Administrator" w:date="2024-07-16T00:11:49Z">
                    <w:r>
                      <w:rPr>
                        <w:rStyle w:val="411"/>
                        <w:rFonts w:hint="eastAsia"/>
                        <w:color w:val="auto"/>
                        <w:sz w:val="20"/>
                        <w:szCs w:val="20"/>
                        <w:highlight w:val="none"/>
                        <w:lang w:val="en-US" w:eastAsia="zh-CN"/>
                      </w:rPr>
                      <w:t>6</w:t>
                    </w:r>
                  </w:ins>
                  <w:r>
                    <w:rPr>
                      <w:rStyle w:val="411"/>
                      <w:rFonts w:hint="default"/>
                      <w:color w:val="auto"/>
                      <w:sz w:val="20"/>
                      <w:szCs w:val="20"/>
                      <w:highlight w:val="none"/>
                    </w:rPr>
                    <w:t>.</w:t>
                  </w:r>
                  <w:r>
                    <w:rPr>
                      <w:rFonts w:hint="eastAsia" w:ascii="宋体" w:hAnsi="宋体" w:cs="宋体"/>
                      <w:color w:val="auto"/>
                      <w:kern w:val="0"/>
                      <w:sz w:val="20"/>
                      <w:szCs w:val="20"/>
                      <w:highlight w:val="none"/>
                    </w:rPr>
                    <w:t>▲</w:t>
                  </w:r>
                  <w:r>
                    <w:rPr>
                      <w:rStyle w:val="411"/>
                      <w:rFonts w:hint="default"/>
                      <w:color w:val="auto"/>
                      <w:sz w:val="20"/>
                      <w:szCs w:val="20"/>
                      <w:highlight w:val="none"/>
                    </w:rPr>
                    <w:t>提供具有ilac-MRA、CNAS、CMA认证标识的检验报告、产品3C证书等证明材料，并加盖显示屏制造商公章。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5" w:hRule="atLeast"/>
              </w:trPr>
              <w:tc>
                <w:tcPr>
                  <w:tcW w:w="999" w:type="pct"/>
                  <w:shd w:val="clear" w:color="auto" w:fill="auto"/>
                  <w:noWrap/>
                  <w:vAlign w:val="center"/>
                </w:tcPr>
                <w:p>
                  <w:pPr>
                    <w:widowControl/>
                    <w:snapToGrid w:val="0"/>
                    <w:spacing w:line="290" w:lineRule="exact"/>
                    <w:jc w:val="center"/>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无线会议主机</w:t>
                  </w:r>
                </w:p>
                <w:p>
                  <w:pPr>
                    <w:widowControl/>
                    <w:snapToGrid w:val="0"/>
                    <w:spacing w:line="290" w:lineRule="exact"/>
                    <w:jc w:val="center"/>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(9▲)</w:t>
                  </w:r>
                </w:p>
              </w:tc>
              <w:tc>
                <w:tcPr>
                  <w:tcW w:w="4000" w:type="pct"/>
                  <w:shd w:val="clear" w:color="auto" w:fill="auto"/>
                  <w:vAlign w:val="center"/>
                </w:tcPr>
                <w:p>
                  <w:pPr>
                    <w:widowControl/>
                    <w:snapToGrid w:val="0"/>
                    <w:spacing w:line="290" w:lineRule="exact"/>
                    <w:textAlignment w:val="center"/>
                    <w:rPr>
                      <w:ins w:id="274" w:author="Apple" w:date="2024-07-15T20:41:00Z"/>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1.▲通信频段：宽于或等于650MHz~700MHz数字通信，5组通信频段可选，互不干扰（提供具备CNAS资格认可的第三方检测机构出具的检测报告复印件并加盖厂商公章）；</w:t>
                  </w:r>
                  <w:r>
                    <w:rPr>
                      <w:rFonts w:hint="eastAsia" w:ascii="宋体" w:hAnsi="宋体" w:cs="宋体"/>
                      <w:color w:val="auto"/>
                      <w:kern w:val="0"/>
                      <w:sz w:val="20"/>
                      <w:szCs w:val="20"/>
                      <w:highlight w:val="none"/>
                    </w:rPr>
                    <w:br w:type="textWrapping"/>
                  </w:r>
                  <w:r>
                    <w:rPr>
                      <w:rFonts w:hint="eastAsia" w:ascii="宋体" w:hAnsi="宋体" w:cs="宋体"/>
                      <w:color w:val="auto"/>
                      <w:kern w:val="0"/>
                      <w:sz w:val="20"/>
                      <w:szCs w:val="20"/>
                      <w:highlight w:val="none"/>
                    </w:rPr>
                    <w:t>2.▲调制方式：采用UHF数字无线音频通信频段，结合数字会议系统架构（提供具备CNAS资格认可的第三方检测机构出具的检测报告复印件并加盖厂商公章）；</w:t>
                  </w:r>
                  <w:r>
                    <w:rPr>
                      <w:rFonts w:hint="eastAsia" w:ascii="宋体" w:hAnsi="宋体" w:cs="宋体"/>
                      <w:color w:val="auto"/>
                      <w:kern w:val="0"/>
                      <w:sz w:val="20"/>
                      <w:szCs w:val="20"/>
                      <w:highlight w:val="none"/>
                    </w:rPr>
                    <w:br w:type="textWrapping"/>
                  </w:r>
                  <w:r>
                    <w:rPr>
                      <w:rFonts w:hint="eastAsia" w:ascii="宋体" w:hAnsi="宋体" w:cs="宋体"/>
                      <w:color w:val="auto"/>
                      <w:kern w:val="0"/>
                      <w:sz w:val="20"/>
                      <w:szCs w:val="20"/>
                      <w:highlight w:val="none"/>
                    </w:rPr>
                    <w:t>3.▲传输距离：天线信号传输距离半径0-20m左右（提供具备CNAS资格认可的第三方检测机构出具的检测报告复印件并加盖厂商公章）；</w:t>
                  </w:r>
                  <w:r>
                    <w:rPr>
                      <w:rFonts w:hint="eastAsia" w:ascii="宋体" w:hAnsi="宋体" w:cs="宋体"/>
                      <w:color w:val="auto"/>
                      <w:kern w:val="0"/>
                      <w:sz w:val="20"/>
                      <w:szCs w:val="20"/>
                      <w:highlight w:val="none"/>
                    </w:rPr>
                    <w:br w:type="textWrapping"/>
                  </w:r>
                  <w:r>
                    <w:rPr>
                      <w:rFonts w:hint="eastAsia" w:ascii="宋体" w:hAnsi="宋体" w:cs="宋体"/>
                      <w:color w:val="auto"/>
                      <w:kern w:val="0"/>
                      <w:sz w:val="20"/>
                      <w:szCs w:val="20"/>
                      <w:highlight w:val="none"/>
                    </w:rPr>
                    <w:t>5.▲具备不低于2路卡侬输出口，不低于2路凤凰端子输出口，可与多种音频设备连接，使得系统得扩展更加灵活，具有不低于一路麦克风输入接口，可单独连接麦克风等其它音源设备；（提供产品接口截图证明）</w:t>
                  </w:r>
                  <w:r>
                    <w:rPr>
                      <w:rFonts w:hint="eastAsia" w:ascii="宋体" w:hAnsi="宋体" w:cs="宋体"/>
                      <w:color w:val="auto"/>
                      <w:kern w:val="0"/>
                      <w:sz w:val="20"/>
                      <w:szCs w:val="20"/>
                      <w:highlight w:val="none"/>
                    </w:rPr>
                    <w:br w:type="textWrapping"/>
                  </w:r>
                  <w:del w:id="275" w:author="Apple" w:date="2024-07-15T20:39:00Z">
                    <w:r>
                      <w:rPr>
                        <w:rFonts w:hint="eastAsia" w:ascii="宋体" w:hAnsi="宋体" w:cs="宋体"/>
                        <w:color w:val="auto"/>
                        <w:kern w:val="0"/>
                        <w:sz w:val="20"/>
                        <w:szCs w:val="20"/>
                        <w:highlight w:val="none"/>
                      </w:rPr>
                      <w:delText>7</w:delText>
                    </w:r>
                  </w:del>
                  <w:ins w:id="276" w:author="Apple" w:date="2024-07-15T20:39:00Z">
                    <w:r>
                      <w:rPr>
                        <w:rFonts w:ascii="宋体" w:hAnsi="宋体" w:cs="宋体"/>
                        <w:color w:val="auto"/>
                        <w:kern w:val="0"/>
                        <w:sz w:val="20"/>
                        <w:szCs w:val="20"/>
                        <w:highlight w:val="none"/>
                      </w:rPr>
                      <w:t>6</w:t>
                    </w:r>
                  </w:ins>
                  <w:r>
                    <w:rPr>
                      <w:rFonts w:hint="eastAsia" w:ascii="宋体" w:hAnsi="宋体" w:cs="宋体"/>
                      <w:color w:val="auto"/>
                      <w:kern w:val="0"/>
                      <w:sz w:val="20"/>
                      <w:szCs w:val="20"/>
                      <w:highlight w:val="none"/>
                    </w:rPr>
                    <w:t>.▲主席设定：同时开启单元数量≥4支，支持话筒自定义主席机配置功能，可根据现场需要，临时定义任意单元为主席单元（提供第三方检测机构出具的检测报告复印件并加盖厂商公章）；</w:t>
                  </w:r>
                  <w:r>
                    <w:rPr>
                      <w:rFonts w:hint="eastAsia" w:ascii="宋体" w:hAnsi="宋体" w:cs="宋体"/>
                      <w:color w:val="auto"/>
                      <w:kern w:val="0"/>
                      <w:sz w:val="20"/>
                      <w:szCs w:val="20"/>
                      <w:highlight w:val="none"/>
                    </w:rPr>
                    <w:br w:type="textWrapping"/>
                  </w:r>
                  <w:del w:id="277" w:author="Apple" w:date="2024-07-15T20:39:00Z">
                    <w:r>
                      <w:rPr>
                        <w:rFonts w:hint="eastAsia" w:ascii="宋体" w:hAnsi="宋体" w:cs="宋体"/>
                        <w:color w:val="auto"/>
                        <w:kern w:val="0"/>
                        <w:sz w:val="20"/>
                        <w:szCs w:val="20"/>
                        <w:highlight w:val="none"/>
                      </w:rPr>
                      <w:delText>9</w:delText>
                    </w:r>
                  </w:del>
                  <w:ins w:id="278" w:author="Apple" w:date="2024-07-15T20:39:00Z">
                    <w:r>
                      <w:rPr>
                        <w:rFonts w:ascii="宋体" w:hAnsi="宋体" w:cs="宋体"/>
                        <w:color w:val="auto"/>
                        <w:kern w:val="0"/>
                        <w:sz w:val="20"/>
                        <w:szCs w:val="20"/>
                        <w:highlight w:val="none"/>
                      </w:rPr>
                      <w:t>8</w:t>
                    </w:r>
                  </w:ins>
                  <w:r>
                    <w:rPr>
                      <w:rFonts w:hint="eastAsia" w:ascii="宋体" w:hAnsi="宋体" w:cs="宋体"/>
                      <w:color w:val="auto"/>
                      <w:kern w:val="0"/>
                      <w:sz w:val="20"/>
                      <w:szCs w:val="20"/>
                      <w:highlight w:val="none"/>
                    </w:rPr>
                    <w:t>.▲具有不低于1路RS-485接口，具备不低于1个RS-232接口，具备不低于1路EXTEN接口做为预留接口（提供接口截图证明并加盖厂商公章）；</w:t>
                  </w:r>
                  <w:r>
                    <w:rPr>
                      <w:rFonts w:hint="eastAsia" w:ascii="宋体" w:hAnsi="宋体" w:cs="宋体"/>
                      <w:color w:val="auto"/>
                      <w:kern w:val="0"/>
                      <w:sz w:val="20"/>
                      <w:szCs w:val="20"/>
                      <w:highlight w:val="none"/>
                    </w:rPr>
                    <w:br w:type="textWrapping"/>
                  </w:r>
                  <w:ins w:id="279" w:author="Apple" w:date="2024-07-15T20:41:00Z">
                    <w:r>
                      <w:rPr>
                        <w:rFonts w:hint="eastAsia" w:ascii="宋体" w:hAnsi="宋体" w:cs="宋体"/>
                        <w:color w:val="auto"/>
                        <w:kern w:val="0"/>
                        <w:sz w:val="20"/>
                        <w:szCs w:val="20"/>
                        <w:highlight w:val="none"/>
                      </w:rPr>
                      <w:t>9. ▲具有发明专利证书（提供认证资质复印件并加盖厂商公章）；</w:t>
                    </w:r>
                  </w:ins>
                </w:p>
                <w:p>
                  <w:pPr>
                    <w:widowControl/>
                    <w:snapToGrid w:val="0"/>
                    <w:spacing w:line="290" w:lineRule="exact"/>
                    <w:textAlignment w:val="center"/>
                    <w:rPr>
                      <w:rStyle w:val="411"/>
                      <w:rFonts w:hint="default"/>
                      <w:color w:val="auto"/>
                      <w:sz w:val="20"/>
                      <w:szCs w:val="20"/>
                      <w:highlight w:val="none"/>
                    </w:rPr>
                  </w:pPr>
                  <w:ins w:id="280" w:author="Apple" w:date="2024-07-15T20:41:00Z">
                    <w:r>
                      <w:rPr>
                        <w:rFonts w:hint="eastAsia" w:ascii="宋体" w:hAnsi="宋体" w:cs="宋体"/>
                        <w:color w:val="auto"/>
                        <w:kern w:val="0"/>
                        <w:sz w:val="20"/>
                        <w:szCs w:val="20"/>
                        <w:highlight w:val="none"/>
                      </w:rPr>
                      <w:t>10.▲具有实用新型专利证书（提供认证资质复印件并加盖厂商公章）；</w:t>
                    </w:r>
                  </w:ins>
                  <w:del w:id="281" w:author="Apple" w:date="2024-07-15T20:41:00Z">
                    <w:r>
                      <w:rPr>
                        <w:rFonts w:hint="eastAsia" w:ascii="宋体" w:hAnsi="宋体" w:cs="宋体"/>
                        <w:color w:val="auto"/>
                        <w:kern w:val="0"/>
                        <w:sz w:val="20"/>
                        <w:szCs w:val="20"/>
                        <w:highlight w:val="none"/>
                      </w:rPr>
                      <w:delText>13.▲具有CE认证证书（提供认证资质复印件并加盖厂商公章）；</w:delText>
                    </w:r>
                  </w:del>
                  <w:del w:id="282" w:author="Apple" w:date="2024-07-15T20:41:00Z">
                    <w:r>
                      <w:rPr>
                        <w:rFonts w:hint="eastAsia" w:ascii="宋体" w:hAnsi="宋体" w:cs="宋体"/>
                        <w:color w:val="auto"/>
                        <w:kern w:val="0"/>
                        <w:sz w:val="20"/>
                        <w:szCs w:val="20"/>
                        <w:highlight w:val="none"/>
                      </w:rPr>
                      <w:br w:type="textWrapping"/>
                    </w:r>
                  </w:del>
                  <w:del w:id="283" w:author="Apple" w:date="2024-07-15T20:41:00Z">
                    <w:r>
                      <w:rPr>
                        <w:rFonts w:hint="eastAsia" w:ascii="宋体" w:hAnsi="宋体" w:cs="宋体"/>
                        <w:color w:val="auto"/>
                        <w:kern w:val="0"/>
                        <w:sz w:val="20"/>
                        <w:szCs w:val="20"/>
                        <w:highlight w:val="none"/>
                      </w:rPr>
                      <w:delText>14.▲具有发明专利证书（提供认证资质复印件并加盖厂商公章）；</w:delText>
                    </w:r>
                  </w:del>
                  <w:del w:id="284" w:author="Apple" w:date="2024-07-15T20:41:00Z">
                    <w:r>
                      <w:rPr>
                        <w:rFonts w:hint="eastAsia" w:ascii="宋体" w:hAnsi="宋体" w:cs="宋体"/>
                        <w:color w:val="auto"/>
                        <w:kern w:val="0"/>
                        <w:sz w:val="20"/>
                        <w:szCs w:val="20"/>
                        <w:highlight w:val="none"/>
                      </w:rPr>
                      <w:br w:type="textWrapping"/>
                    </w:r>
                  </w:del>
                  <w:del w:id="285" w:author="Apple" w:date="2024-07-15T20:41:00Z">
                    <w:r>
                      <w:rPr>
                        <w:rFonts w:hint="eastAsia" w:ascii="宋体" w:hAnsi="宋体" w:cs="宋体"/>
                        <w:color w:val="auto"/>
                        <w:kern w:val="0"/>
                        <w:sz w:val="20"/>
                        <w:szCs w:val="20"/>
                        <w:highlight w:val="none"/>
                      </w:rPr>
                      <w:delText>15.▲具有实用新型专利证书（提供认证资质复印件并加盖厂商公章）</w:delText>
                    </w:r>
                  </w:del>
                  <w:r>
                    <w:rPr>
                      <w:rFonts w:hint="eastAsia" w:ascii="宋体" w:hAnsi="宋体" w:cs="宋体"/>
                      <w:color w:val="auto"/>
                      <w:kern w:val="0"/>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trPr>
              <w:tc>
                <w:tcPr>
                  <w:tcW w:w="999" w:type="pct"/>
                  <w:shd w:val="clear" w:color="auto" w:fill="auto"/>
                  <w:noWrap/>
                  <w:vAlign w:val="center"/>
                </w:tcPr>
                <w:p>
                  <w:pPr>
                    <w:widowControl/>
                    <w:snapToGrid w:val="0"/>
                    <w:spacing w:line="290" w:lineRule="exact"/>
                    <w:jc w:val="center"/>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无线主席单元</w:t>
                  </w:r>
                </w:p>
                <w:p>
                  <w:pPr>
                    <w:widowControl/>
                    <w:snapToGrid w:val="0"/>
                    <w:spacing w:line="290" w:lineRule="exact"/>
                    <w:jc w:val="center"/>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4000" w:type="pct"/>
                  <w:shd w:val="clear" w:color="auto" w:fill="auto"/>
                  <w:vAlign w:val="center"/>
                </w:tcPr>
                <w:p>
                  <w:pPr>
                    <w:widowControl/>
                    <w:snapToGrid w:val="0"/>
                    <w:spacing w:line="290" w:lineRule="exact"/>
                    <w:textAlignment w:val="center"/>
                    <w:rPr>
                      <w:rStyle w:val="411"/>
                      <w:rFonts w:hint="default"/>
                      <w:color w:val="auto"/>
                      <w:sz w:val="20"/>
                      <w:szCs w:val="20"/>
                      <w:highlight w:val="none"/>
                    </w:rPr>
                    <w:pPrChange w:id="286" w:author="Apple" w:date="2024-07-15T20:41:00Z">
                      <w:pPr>
                        <w:widowControl/>
                        <w:snapToGrid w:val="0"/>
                        <w:spacing w:line="290" w:lineRule="exact"/>
                        <w:textAlignment w:val="center"/>
                      </w:pPr>
                    </w:pPrChange>
                  </w:pPr>
                  <w:r>
                    <w:rPr>
                      <w:rFonts w:hint="eastAsia" w:ascii="宋体" w:hAnsi="宋体" w:cs="宋体"/>
                      <w:color w:val="auto"/>
                      <w:kern w:val="0"/>
                      <w:sz w:val="20"/>
                      <w:szCs w:val="20"/>
                      <w:highlight w:val="none"/>
                    </w:rPr>
                    <w:t>1.▲内置≥14毫米直径镀金电容式收音头（提供具备第三方权威检测机构出具的检测报告复印件并加盖厂商公章）；</w:t>
                  </w:r>
                  <w:r>
                    <w:rPr>
                      <w:rFonts w:hint="eastAsia" w:ascii="宋体" w:hAnsi="宋体" w:cs="宋体"/>
                      <w:color w:val="auto"/>
                      <w:kern w:val="0"/>
                      <w:sz w:val="20"/>
                      <w:szCs w:val="20"/>
                      <w:highlight w:val="none"/>
                    </w:rPr>
                    <w:br w:type="textWrapping"/>
                  </w:r>
                  <w:del w:id="287" w:author="Apple" w:date="2024-07-15T20:41:00Z">
                    <w:r>
                      <w:rPr>
                        <w:rFonts w:hint="eastAsia" w:ascii="宋体" w:hAnsi="宋体" w:cs="宋体"/>
                        <w:color w:val="auto"/>
                        <w:kern w:val="0"/>
                        <w:sz w:val="20"/>
                        <w:szCs w:val="20"/>
                        <w:highlight w:val="none"/>
                      </w:rPr>
                      <w:delText>10</w:delText>
                    </w:r>
                  </w:del>
                  <w:ins w:id="288" w:author="Apple" w:date="2024-07-15T20:41:00Z">
                    <w:r>
                      <w:rPr>
                        <w:rFonts w:ascii="宋体" w:hAnsi="宋体" w:cs="宋体"/>
                        <w:color w:val="auto"/>
                        <w:kern w:val="0"/>
                        <w:sz w:val="20"/>
                        <w:szCs w:val="20"/>
                        <w:highlight w:val="none"/>
                      </w:rPr>
                      <w:t>5</w:t>
                    </w:r>
                  </w:ins>
                  <w:r>
                    <w:rPr>
                      <w:rFonts w:hint="eastAsia" w:ascii="宋体" w:hAnsi="宋体" w:cs="宋体"/>
                      <w:color w:val="auto"/>
                      <w:kern w:val="0"/>
                      <w:sz w:val="20"/>
                      <w:szCs w:val="20"/>
                      <w:highlight w:val="none"/>
                    </w:rPr>
                    <w:t>.▲自定义主席机配置功能，可根据现场需要，临时定义任意单元为主席单元，主席单元无数量限制（提供具备第三方权威检测机构出具的检测报告复印件并加盖厂商公章）；</w:t>
                  </w:r>
                  <w:r>
                    <w:rPr>
                      <w:rFonts w:hint="eastAsia" w:ascii="宋体" w:hAnsi="宋体" w:cs="宋体"/>
                      <w:color w:val="auto"/>
                      <w:kern w:val="0"/>
                      <w:sz w:val="20"/>
                      <w:szCs w:val="20"/>
                      <w:highlight w:val="none"/>
                    </w:rPr>
                    <w:br w:type="textWrapping"/>
                  </w:r>
                  <w:del w:id="289" w:author="Apple" w:date="2024-07-15T20:41:00Z">
                    <w:r>
                      <w:rPr>
                        <w:rFonts w:hint="eastAsia" w:ascii="宋体" w:hAnsi="宋体" w:cs="宋体"/>
                        <w:color w:val="auto"/>
                        <w:kern w:val="0"/>
                        <w:sz w:val="20"/>
                        <w:szCs w:val="20"/>
                        <w:highlight w:val="none"/>
                      </w:rPr>
                      <w:delText>14</w:delText>
                    </w:r>
                  </w:del>
                  <w:ins w:id="290" w:author="Apple" w:date="2024-07-15T20:41:00Z">
                    <w:r>
                      <w:rPr>
                        <w:rFonts w:ascii="宋体" w:hAnsi="宋体" w:cs="宋体"/>
                        <w:color w:val="auto"/>
                        <w:kern w:val="0"/>
                        <w:sz w:val="20"/>
                        <w:szCs w:val="20"/>
                        <w:highlight w:val="none"/>
                      </w:rPr>
                      <w:t>8</w:t>
                    </w:r>
                  </w:ins>
                  <w:r>
                    <w:rPr>
                      <w:rFonts w:hint="eastAsia" w:ascii="宋体" w:hAnsi="宋体" w:cs="宋体"/>
                      <w:color w:val="auto"/>
                      <w:kern w:val="0"/>
                      <w:sz w:val="20"/>
                      <w:szCs w:val="20"/>
                      <w:highlight w:val="none"/>
                    </w:rPr>
                    <w:t>.▲话筒单元产品生产厂家应具有外观设计专利证书（需提供证书复印件并加盖厂商公章）。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999" w:type="pct"/>
                  <w:shd w:val="clear" w:color="auto" w:fill="auto"/>
                  <w:noWrap/>
                  <w:vAlign w:val="center"/>
                </w:tcPr>
                <w:p>
                  <w:pPr>
                    <w:widowControl/>
                    <w:snapToGrid w:val="0"/>
                    <w:spacing w:line="290" w:lineRule="exact"/>
                    <w:jc w:val="center"/>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无线代表单元</w:t>
                  </w:r>
                </w:p>
                <w:p>
                  <w:pPr>
                    <w:widowControl/>
                    <w:snapToGrid w:val="0"/>
                    <w:spacing w:line="290" w:lineRule="exact"/>
                    <w:jc w:val="center"/>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4000" w:type="pct"/>
                  <w:shd w:val="clear" w:color="auto" w:fill="auto"/>
                  <w:vAlign w:val="center"/>
                </w:tcPr>
                <w:p>
                  <w:pPr>
                    <w:widowControl/>
                    <w:snapToGrid w:val="0"/>
                    <w:spacing w:line="290" w:lineRule="exact"/>
                    <w:textAlignment w:val="center"/>
                    <w:rPr>
                      <w:rFonts w:ascii="宋体" w:hAnsi="宋体" w:cs="宋体"/>
                      <w:color w:val="auto"/>
                      <w:kern w:val="0"/>
                      <w:sz w:val="20"/>
                      <w:szCs w:val="20"/>
                      <w:highlight w:val="none"/>
                    </w:rPr>
                    <w:pPrChange w:id="291" w:author="Apple" w:date="2024-07-15T20:41:00Z">
                      <w:pPr>
                        <w:widowControl/>
                        <w:snapToGrid w:val="0"/>
                        <w:spacing w:line="290" w:lineRule="exact"/>
                        <w:textAlignment w:val="center"/>
                      </w:pPr>
                    </w:pPrChange>
                  </w:pPr>
                  <w:r>
                    <w:rPr>
                      <w:rFonts w:hint="eastAsia" w:ascii="宋体" w:hAnsi="宋体" w:cs="宋体"/>
                      <w:color w:val="auto"/>
                      <w:kern w:val="0"/>
                      <w:sz w:val="20"/>
                      <w:szCs w:val="20"/>
                      <w:highlight w:val="none"/>
                    </w:rPr>
                    <w:t>1.▲内置≥14毫米直径镀金电容式收音头（提供具备第三方权威检测机构出具的检测报告复印件并加盖厂商公章）；</w:t>
                  </w:r>
                  <w:r>
                    <w:rPr>
                      <w:rFonts w:hint="eastAsia" w:ascii="宋体" w:hAnsi="宋体" w:cs="宋体"/>
                      <w:color w:val="auto"/>
                      <w:kern w:val="0"/>
                      <w:sz w:val="20"/>
                      <w:szCs w:val="20"/>
                      <w:highlight w:val="none"/>
                    </w:rPr>
                    <w:br w:type="textWrapping"/>
                  </w:r>
                  <w:del w:id="292" w:author="Apple" w:date="2024-07-15T20:41:00Z">
                    <w:r>
                      <w:rPr>
                        <w:rFonts w:hint="eastAsia" w:ascii="宋体" w:hAnsi="宋体" w:cs="宋体"/>
                        <w:color w:val="auto"/>
                        <w:kern w:val="0"/>
                        <w:sz w:val="20"/>
                        <w:szCs w:val="20"/>
                        <w:highlight w:val="none"/>
                      </w:rPr>
                      <w:delText>10</w:delText>
                    </w:r>
                  </w:del>
                  <w:ins w:id="293" w:author="Apple" w:date="2024-07-15T20:41:00Z">
                    <w:r>
                      <w:rPr>
                        <w:rFonts w:ascii="宋体" w:hAnsi="宋体" w:cs="宋体"/>
                        <w:color w:val="auto"/>
                        <w:kern w:val="0"/>
                        <w:sz w:val="20"/>
                        <w:szCs w:val="20"/>
                        <w:highlight w:val="none"/>
                      </w:rPr>
                      <w:t>5</w:t>
                    </w:r>
                  </w:ins>
                  <w:r>
                    <w:rPr>
                      <w:rFonts w:hint="eastAsia" w:ascii="宋体" w:hAnsi="宋体" w:cs="宋体"/>
                      <w:color w:val="auto"/>
                      <w:kern w:val="0"/>
                      <w:sz w:val="20"/>
                      <w:szCs w:val="20"/>
                      <w:highlight w:val="none"/>
                    </w:rPr>
                    <w:t>.▲自定义主席机配置功能，可根据现场需要，临时定义任意单元为主席单元，主席单元无数量限制（提供具备第三方权威检测机构出具的检测报告复印件并加盖厂商公章）；</w:t>
                  </w:r>
                  <w:r>
                    <w:rPr>
                      <w:rFonts w:hint="eastAsia" w:ascii="宋体" w:hAnsi="宋体" w:cs="宋体"/>
                      <w:color w:val="auto"/>
                      <w:kern w:val="0"/>
                      <w:sz w:val="20"/>
                      <w:szCs w:val="20"/>
                      <w:highlight w:val="none"/>
                    </w:rPr>
                    <w:br w:type="textWrapping"/>
                  </w:r>
                  <w:del w:id="294" w:author="Apple" w:date="2024-07-15T20:41:00Z">
                    <w:r>
                      <w:rPr>
                        <w:rFonts w:hint="eastAsia" w:ascii="宋体" w:hAnsi="宋体" w:cs="宋体"/>
                        <w:color w:val="auto"/>
                        <w:kern w:val="0"/>
                        <w:sz w:val="20"/>
                        <w:szCs w:val="20"/>
                        <w:highlight w:val="none"/>
                      </w:rPr>
                      <w:delText>14</w:delText>
                    </w:r>
                  </w:del>
                  <w:ins w:id="295" w:author="Apple" w:date="2024-07-15T20:41:00Z">
                    <w:r>
                      <w:rPr>
                        <w:rFonts w:ascii="宋体" w:hAnsi="宋体" w:cs="宋体"/>
                        <w:color w:val="auto"/>
                        <w:kern w:val="0"/>
                        <w:sz w:val="20"/>
                        <w:szCs w:val="20"/>
                        <w:highlight w:val="none"/>
                      </w:rPr>
                      <w:t>8</w:t>
                    </w:r>
                  </w:ins>
                  <w:r>
                    <w:rPr>
                      <w:rFonts w:hint="eastAsia" w:ascii="宋体" w:hAnsi="宋体" w:cs="宋体"/>
                      <w:color w:val="auto"/>
                      <w:kern w:val="0"/>
                      <w:sz w:val="20"/>
                      <w:szCs w:val="20"/>
                      <w:highlight w:val="none"/>
                    </w:rPr>
                    <w:t>.▲话筒单元产品生产厂家应具有外观设计专利证书（需提供证书复印件并加盖厂商公章）。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99" w:type="pct"/>
                  <w:shd w:val="clear" w:color="auto" w:fill="auto"/>
                  <w:noWrap/>
                  <w:vAlign w:val="center"/>
                </w:tcPr>
                <w:p>
                  <w:pPr>
                    <w:widowControl/>
                    <w:snapToGrid w:val="0"/>
                    <w:spacing w:line="290" w:lineRule="exact"/>
                    <w:jc w:val="center"/>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无纸化系统服务软件（1▲）</w:t>
                  </w:r>
                </w:p>
              </w:tc>
              <w:tc>
                <w:tcPr>
                  <w:tcW w:w="4000" w:type="pct"/>
                  <w:shd w:val="clear" w:color="auto" w:fill="auto"/>
                  <w:vAlign w:val="center"/>
                </w:tcPr>
                <w:p>
                  <w:pPr>
                    <w:widowControl/>
                    <w:snapToGrid w:val="0"/>
                    <w:spacing w:line="290" w:lineRule="exact"/>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1.▲拥有无纸化软件著作权证书；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99" w:type="pct"/>
                  <w:shd w:val="clear" w:color="auto" w:fill="auto"/>
                  <w:noWrap/>
                  <w:vAlign w:val="center"/>
                </w:tcPr>
                <w:p>
                  <w:pPr>
                    <w:widowControl/>
                    <w:snapToGrid w:val="0"/>
                    <w:spacing w:line="290" w:lineRule="exact"/>
                    <w:jc w:val="center"/>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无纸化客户端软件（1▲）</w:t>
                  </w:r>
                </w:p>
              </w:tc>
              <w:tc>
                <w:tcPr>
                  <w:tcW w:w="4000" w:type="pct"/>
                  <w:shd w:val="clear" w:color="auto" w:fill="auto"/>
                  <w:vAlign w:val="center"/>
                </w:tcPr>
                <w:p>
                  <w:pPr>
                    <w:widowControl/>
                    <w:snapToGrid w:val="0"/>
                    <w:spacing w:line="290" w:lineRule="exact"/>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1.▲拥有无纸化软件著作权证书；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99" w:type="pct"/>
                  <w:shd w:val="clear" w:color="auto" w:fill="auto"/>
                  <w:noWrap/>
                  <w:vAlign w:val="center"/>
                </w:tcPr>
                <w:p>
                  <w:pPr>
                    <w:widowControl/>
                    <w:snapToGrid w:val="0"/>
                    <w:spacing w:line="290" w:lineRule="exact"/>
                    <w:jc w:val="center"/>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会务服务软件（1▲）</w:t>
                  </w:r>
                </w:p>
              </w:tc>
              <w:tc>
                <w:tcPr>
                  <w:tcW w:w="4000" w:type="pct"/>
                  <w:shd w:val="clear" w:color="auto" w:fill="auto"/>
                  <w:vAlign w:val="center"/>
                </w:tcPr>
                <w:p>
                  <w:pPr>
                    <w:widowControl/>
                    <w:snapToGrid w:val="0"/>
                    <w:spacing w:line="290" w:lineRule="exact"/>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1.▲拥有无纸化软件著作权证书；</w:t>
                  </w:r>
                </w:p>
              </w:tc>
            </w:tr>
          </w:tbl>
          <w:p>
            <w:pPr>
              <w:wordWrap w:val="0"/>
              <w:topLinePunct/>
              <w:adjustRightInd w:val="0"/>
              <w:snapToGrid w:val="0"/>
              <w:spacing w:line="360" w:lineRule="exact"/>
              <w:jc w:val="left"/>
              <w:rPr>
                <w:rFonts w:ascii="宋体" w:hAnsi="宋体" w:cs="宋体"/>
                <w:b/>
                <w:bCs/>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vMerge w:val="continue"/>
            <w:vAlign w:val="center"/>
          </w:tcPr>
          <w:p>
            <w:pPr>
              <w:widowControl/>
              <w:wordWrap w:val="0"/>
              <w:topLinePunct/>
              <w:adjustRightInd w:val="0"/>
              <w:snapToGrid w:val="0"/>
              <w:jc w:val="center"/>
              <w:rPr>
                <w:rFonts w:ascii="宋体" w:hAnsi="宋体" w:cs="宋体"/>
                <w:color w:val="auto"/>
                <w:sz w:val="20"/>
                <w:szCs w:val="20"/>
                <w:highlight w:val="none"/>
              </w:rPr>
            </w:pPr>
          </w:p>
        </w:tc>
        <w:tc>
          <w:tcPr>
            <w:tcW w:w="402" w:type="pct"/>
            <w:vAlign w:val="center"/>
          </w:tcPr>
          <w:p>
            <w:pPr>
              <w:widowControl/>
              <w:wordWrap w:val="0"/>
              <w:topLinePunct/>
              <w:adjustRightInd w:val="0"/>
              <w:snapToGrid w:val="0"/>
              <w:jc w:val="center"/>
              <w:rPr>
                <w:rFonts w:ascii="宋体" w:hAnsi="宋体" w:cs="宋体"/>
                <w:snapToGrid w:val="0"/>
                <w:color w:val="auto"/>
                <w:kern w:val="0"/>
                <w:sz w:val="20"/>
                <w:szCs w:val="20"/>
                <w:highlight w:val="none"/>
              </w:rPr>
            </w:pPr>
            <w:r>
              <w:rPr>
                <w:rFonts w:hint="eastAsia" w:ascii="宋体" w:hAnsi="宋体" w:cs="宋体"/>
                <w:snapToGrid w:val="0"/>
                <w:color w:val="auto"/>
                <w:kern w:val="0"/>
                <w:sz w:val="20"/>
                <w:szCs w:val="20"/>
                <w:highlight w:val="none"/>
              </w:rPr>
              <w:t>技术方案</w:t>
            </w:r>
          </w:p>
          <w:p>
            <w:pPr>
              <w:widowControl/>
              <w:wordWrap w:val="0"/>
              <w:topLinePunct/>
              <w:adjustRightInd w:val="0"/>
              <w:snapToGrid w:val="0"/>
              <w:jc w:val="center"/>
              <w:rPr>
                <w:rFonts w:ascii="宋体" w:hAnsi="宋体" w:cs="宋体"/>
                <w:snapToGrid w:val="0"/>
                <w:color w:val="auto"/>
                <w:kern w:val="0"/>
                <w:sz w:val="20"/>
                <w:szCs w:val="20"/>
                <w:highlight w:val="none"/>
              </w:rPr>
            </w:pPr>
          </w:p>
          <w:p>
            <w:pPr>
              <w:widowControl/>
              <w:wordWrap w:val="0"/>
              <w:topLinePunct/>
              <w:adjustRightInd w:val="0"/>
              <w:snapToGrid w:val="0"/>
              <w:jc w:val="center"/>
              <w:rPr>
                <w:rFonts w:ascii="宋体" w:hAnsi="宋体" w:cs="宋体"/>
                <w:color w:val="auto"/>
                <w:sz w:val="20"/>
                <w:szCs w:val="20"/>
                <w:highlight w:val="none"/>
              </w:rPr>
            </w:pPr>
            <w:r>
              <w:rPr>
                <w:rFonts w:hint="eastAsia" w:ascii="宋体" w:hAnsi="宋体" w:cs="宋体"/>
                <w:snapToGrid w:val="0"/>
                <w:color w:val="auto"/>
                <w:kern w:val="0"/>
                <w:sz w:val="20"/>
                <w:szCs w:val="20"/>
                <w:highlight w:val="none"/>
              </w:rPr>
              <w:t>15分</w:t>
            </w:r>
          </w:p>
        </w:tc>
        <w:tc>
          <w:tcPr>
            <w:tcW w:w="4224" w:type="pct"/>
            <w:vAlign w:val="center"/>
          </w:tcPr>
          <w:p>
            <w:pPr>
              <w:widowControl/>
              <w:wordWrap w:val="0"/>
              <w:topLinePunct/>
              <w:adjustRightInd w:val="0"/>
              <w:snapToGrid w:val="0"/>
              <w:spacing w:line="360" w:lineRule="exact"/>
              <w:jc w:val="left"/>
              <w:rPr>
                <w:rFonts w:ascii="宋体" w:hAnsi="宋体" w:cs="宋体"/>
                <w:color w:val="auto"/>
                <w:sz w:val="20"/>
                <w:szCs w:val="20"/>
                <w:highlight w:val="none"/>
              </w:rPr>
            </w:pPr>
            <w:r>
              <w:rPr>
                <w:rFonts w:hint="eastAsia" w:ascii="宋体" w:hAnsi="宋体" w:cs="宋体"/>
                <w:snapToGrid w:val="0"/>
                <w:color w:val="auto"/>
                <w:kern w:val="0"/>
                <w:sz w:val="20"/>
                <w:szCs w:val="20"/>
                <w:highlight w:val="none"/>
              </w:rPr>
              <w:t>根据项目实施方案（含技术人员配备、施工进度计划、货物进场计划、货物安装组织计划、售后服务）的完整性及合理情况等进行综合评审，方案细致全面、合理得15分；方案较为完整得10分；方案可行性一般得6分；方案不完整、响应度低、可行性差得3分；不提供不得分。本项满分15分。</w:t>
            </w:r>
          </w:p>
        </w:tc>
      </w:tr>
    </w:tbl>
    <w:p>
      <w:pPr>
        <w:spacing w:before="120" w:beforeLines="50" w:line="360" w:lineRule="auto"/>
        <w:ind w:firstLine="411" w:firstLineChars="195"/>
        <w:rPr>
          <w:rFonts w:ascii="宋体" w:hAnsi="宋体"/>
          <w:color w:val="auto"/>
          <w:sz w:val="28"/>
          <w:szCs w:val="28"/>
          <w:highlight w:val="none"/>
        </w:rPr>
      </w:pPr>
      <w:r>
        <w:rPr>
          <w:rFonts w:hint="eastAsia" w:ascii="宋体" w:hAnsi="宋体"/>
          <w:b/>
          <w:bCs/>
          <w:color w:val="auto"/>
          <w:szCs w:val="21"/>
          <w:highlight w:val="none"/>
        </w:rPr>
        <w:t>注：</w:t>
      </w:r>
      <w:r>
        <w:rPr>
          <w:rFonts w:hint="eastAsia" w:ascii="宋体" w:hAnsi="宋体" w:cs="宋体"/>
          <w:b/>
          <w:bCs/>
          <w:color w:val="auto"/>
          <w:kern w:val="0"/>
          <w:sz w:val="20"/>
          <w:szCs w:val="20"/>
          <w:highlight w:val="none"/>
        </w:rPr>
        <w:t>投标人须对以上要求提交的资料的真实性负责，如存在弄虚作假行为，将作无效投标处理。</w:t>
      </w:r>
    </w:p>
    <w:p>
      <w:pPr>
        <w:rPr>
          <w:rFonts w:ascii="宋体" w:hAnsi="宋体"/>
          <w:color w:val="auto"/>
          <w:sz w:val="28"/>
          <w:szCs w:val="28"/>
          <w:highlight w:val="none"/>
        </w:rPr>
      </w:pPr>
      <w:r>
        <w:rPr>
          <w:rFonts w:hint="eastAsia" w:ascii="宋体" w:hAnsi="宋体"/>
          <w:color w:val="auto"/>
          <w:sz w:val="28"/>
          <w:szCs w:val="28"/>
          <w:highlight w:val="none"/>
        </w:rPr>
        <w:br w:type="page"/>
      </w:r>
    </w:p>
    <w:p>
      <w:pPr>
        <w:pStyle w:val="3"/>
        <w:adjustRightInd w:val="0"/>
        <w:snapToGrid w:val="0"/>
        <w:spacing w:before="120"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 xml:space="preserve">第三节 </w:t>
      </w:r>
      <w:r>
        <w:rPr>
          <w:rFonts w:ascii="宋体" w:hAnsi="宋体"/>
          <w:color w:val="auto"/>
          <w:sz w:val="28"/>
          <w:szCs w:val="28"/>
          <w:highlight w:val="none"/>
        </w:rPr>
        <w:t>确定中标候选人</w:t>
      </w:r>
    </w:p>
    <w:p>
      <w:pPr>
        <w:widowControl/>
        <w:spacing w:line="360" w:lineRule="auto"/>
        <w:ind w:firstLine="420"/>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评标委员会对所有进入综合评审的投标人，根据其最终评审得分由高到低进行排序（</w:t>
      </w:r>
      <w:r>
        <w:rPr>
          <w:rFonts w:ascii="宋体" w:hAnsi="宋体" w:cs="宋体"/>
          <w:color w:val="auto"/>
          <w:kern w:val="0"/>
          <w:sz w:val="20"/>
          <w:szCs w:val="20"/>
          <w:highlight w:val="none"/>
        </w:rPr>
        <w:t>得分且投标报价相同的，按技术得分由高到低顺序排列）</w:t>
      </w:r>
      <w:r>
        <w:rPr>
          <w:rFonts w:hint="eastAsia" w:ascii="宋体" w:hAnsi="宋体" w:cs="宋体"/>
          <w:color w:val="auto"/>
          <w:kern w:val="0"/>
          <w:sz w:val="20"/>
          <w:szCs w:val="20"/>
          <w:highlight w:val="none"/>
        </w:rPr>
        <w:t>，同时推荐综合得分排名靠前的投标人为中标候选人。评标结果报经招标人审定后，依法依规确认本次招标的中标人。</w:t>
      </w:r>
    </w:p>
    <w:p>
      <w:pPr>
        <w:widowControl/>
        <w:spacing w:line="360" w:lineRule="auto"/>
        <w:jc w:val="left"/>
        <w:rPr>
          <w:rFonts w:ascii="宋体" w:hAnsi="宋体" w:cs="宋体"/>
          <w:color w:val="auto"/>
          <w:kern w:val="0"/>
          <w:sz w:val="20"/>
          <w:szCs w:val="20"/>
          <w:highlight w:val="none"/>
        </w:rPr>
      </w:pPr>
    </w:p>
    <w:p>
      <w:pPr>
        <w:widowControl/>
        <w:jc w:val="left"/>
        <w:rPr>
          <w:rFonts w:ascii="宋体" w:hAnsi="宋体"/>
          <w:color w:val="auto"/>
          <w:sz w:val="32"/>
          <w:szCs w:val="32"/>
          <w:highlight w:val="none"/>
        </w:rPr>
      </w:pPr>
      <w:r>
        <w:rPr>
          <w:rFonts w:ascii="宋体" w:hAnsi="宋体" w:cs="宋体"/>
          <w:color w:val="auto"/>
          <w:kern w:val="0"/>
          <w:sz w:val="20"/>
          <w:szCs w:val="20"/>
          <w:highlight w:val="none"/>
        </w:rPr>
        <w:br w:type="page"/>
      </w:r>
      <w:bookmarkStart w:id="51" w:name="_Toc106890527"/>
    </w:p>
    <w:p>
      <w:pPr>
        <w:pStyle w:val="2"/>
        <w:adjustRightInd w:val="0"/>
        <w:snapToGrid w:val="0"/>
        <w:spacing w:before="120" w:beforeLines="50" w:line="360" w:lineRule="auto"/>
        <w:jc w:val="center"/>
        <w:rPr>
          <w:rFonts w:ascii="宋体" w:hAnsi="宋体"/>
          <w:color w:val="auto"/>
          <w:sz w:val="32"/>
          <w:szCs w:val="32"/>
          <w:highlight w:val="none"/>
        </w:rPr>
      </w:pPr>
      <w:r>
        <w:rPr>
          <w:rFonts w:hint="eastAsia" w:ascii="宋体" w:hAnsi="宋体"/>
          <w:color w:val="auto"/>
          <w:sz w:val="32"/>
          <w:szCs w:val="32"/>
          <w:highlight w:val="none"/>
        </w:rPr>
        <w:t>第六章 响应文件组成</w:t>
      </w:r>
      <w:bookmarkEnd w:id="51"/>
    </w:p>
    <w:p>
      <w:pPr>
        <w:adjustRightInd w:val="0"/>
        <w:snapToGrid w:val="0"/>
        <w:spacing w:before="120" w:beforeLines="50" w:line="360" w:lineRule="auto"/>
        <w:rPr>
          <w:rFonts w:ascii="宋体" w:hAnsi="宋体"/>
          <w:color w:val="auto"/>
          <w:highlight w:val="none"/>
        </w:rPr>
      </w:pPr>
      <w:r>
        <w:rPr>
          <w:rFonts w:hint="eastAsia" w:ascii="宋体" w:hAnsi="宋体"/>
          <w:color w:val="auto"/>
          <w:highlight w:val="none"/>
        </w:rPr>
        <w:t>供应商的响应文件应包含以下部分：</w:t>
      </w:r>
    </w:p>
    <w:p>
      <w:pPr>
        <w:widowControl/>
        <w:tabs>
          <w:tab w:val="left" w:pos="753"/>
        </w:tabs>
        <w:adjustRightInd w:val="0"/>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一、磋商响应声明</w:t>
      </w:r>
    </w:p>
    <w:p>
      <w:pPr>
        <w:widowControl/>
        <w:tabs>
          <w:tab w:val="left" w:pos="753"/>
        </w:tabs>
        <w:adjustRightInd w:val="0"/>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二、法定代表人（单位负责人）身份证明</w:t>
      </w:r>
    </w:p>
    <w:p>
      <w:pPr>
        <w:widowControl/>
        <w:tabs>
          <w:tab w:val="left" w:pos="753"/>
        </w:tabs>
        <w:adjustRightInd w:val="0"/>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三、授权委托书</w:t>
      </w:r>
    </w:p>
    <w:p>
      <w:pPr>
        <w:widowControl/>
        <w:tabs>
          <w:tab w:val="left" w:pos="753"/>
        </w:tabs>
        <w:adjustRightInd w:val="0"/>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四、报价表及报价文件</w:t>
      </w:r>
    </w:p>
    <w:p>
      <w:pPr>
        <w:widowControl/>
        <w:tabs>
          <w:tab w:val="left" w:pos="753"/>
        </w:tabs>
        <w:adjustRightInd w:val="0"/>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五、供应商的资格证明材料</w:t>
      </w:r>
    </w:p>
    <w:p>
      <w:pPr>
        <w:widowControl/>
        <w:tabs>
          <w:tab w:val="left" w:pos="753"/>
        </w:tabs>
        <w:adjustRightInd w:val="0"/>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六、采购需求的响应</w:t>
      </w:r>
    </w:p>
    <w:p>
      <w:pPr>
        <w:widowControl/>
        <w:tabs>
          <w:tab w:val="left" w:pos="753"/>
        </w:tabs>
        <w:adjustRightInd w:val="0"/>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七、采购需求偏离表</w:t>
      </w:r>
    </w:p>
    <w:p>
      <w:pPr>
        <w:widowControl/>
        <w:tabs>
          <w:tab w:val="left" w:pos="753"/>
        </w:tabs>
        <w:adjustRightInd w:val="0"/>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八、关于资格的说明</w:t>
      </w:r>
    </w:p>
    <w:p>
      <w:pPr>
        <w:widowControl/>
        <w:tabs>
          <w:tab w:val="left" w:pos="753"/>
        </w:tabs>
        <w:adjustRightInd w:val="0"/>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九、响应标的符合磋商文件规定的证明文件</w:t>
      </w:r>
    </w:p>
    <w:p>
      <w:pPr>
        <w:widowControl/>
        <w:tabs>
          <w:tab w:val="left" w:pos="753"/>
        </w:tabs>
        <w:adjustRightInd w:val="0"/>
        <w:snapToGrid w:val="0"/>
        <w:spacing w:before="120" w:beforeLines="50" w:line="360" w:lineRule="auto"/>
        <w:ind w:firstLine="420" w:firstLineChars="200"/>
        <w:rPr>
          <w:rFonts w:ascii="宋体" w:hAnsi="宋体"/>
          <w:b/>
          <w:color w:val="auto"/>
          <w:sz w:val="32"/>
          <w:szCs w:val="32"/>
          <w:highlight w:val="none"/>
        </w:rPr>
      </w:pPr>
      <w:r>
        <w:rPr>
          <w:rFonts w:hint="eastAsia" w:ascii="宋体" w:hAnsi="宋体"/>
          <w:color w:val="auto"/>
          <w:szCs w:val="21"/>
          <w:highlight w:val="none"/>
        </w:rPr>
        <w:t>十、供应商认为需提供的其他资料</w:t>
      </w:r>
    </w:p>
    <w:p>
      <w:pPr>
        <w:rPr>
          <w:rFonts w:ascii="宋体" w:hAnsi="宋体" w:cs="宋体"/>
          <w:color w:val="auto"/>
          <w:kern w:val="0"/>
          <w:sz w:val="20"/>
          <w:szCs w:val="20"/>
          <w:highlight w:val="none"/>
        </w:rPr>
      </w:pPr>
      <w:r>
        <w:rPr>
          <w:rFonts w:ascii="宋体" w:hAnsi="宋体" w:cs="宋体"/>
          <w:color w:val="auto"/>
          <w:kern w:val="0"/>
          <w:sz w:val="20"/>
          <w:szCs w:val="20"/>
          <w:highlight w:val="none"/>
        </w:rPr>
        <w:br w:type="page"/>
      </w:r>
    </w:p>
    <w:p>
      <w:pPr>
        <w:widowControl/>
        <w:jc w:val="left"/>
        <w:rPr>
          <w:rFonts w:ascii="宋体" w:hAnsi="宋体" w:cs="宋体"/>
          <w:color w:val="auto"/>
          <w:kern w:val="0"/>
          <w:sz w:val="20"/>
          <w:szCs w:val="20"/>
          <w:highlight w:val="none"/>
        </w:rPr>
      </w:pPr>
    </w:p>
    <w:p>
      <w:pPr>
        <w:spacing w:line="480" w:lineRule="auto"/>
        <w:jc w:val="center"/>
        <w:rPr>
          <w:rFonts w:ascii="宋体" w:hAnsi="宋体"/>
          <w:b/>
          <w:color w:val="auto"/>
          <w:sz w:val="52"/>
          <w:szCs w:val="20"/>
          <w:highlight w:val="none"/>
        </w:rPr>
      </w:pPr>
    </w:p>
    <w:p>
      <w:pPr>
        <w:spacing w:line="480" w:lineRule="auto"/>
        <w:jc w:val="center"/>
        <w:rPr>
          <w:rFonts w:ascii="宋体" w:hAnsi="宋体"/>
          <w:b/>
          <w:color w:val="auto"/>
          <w:sz w:val="52"/>
          <w:szCs w:val="20"/>
          <w:highlight w:val="none"/>
        </w:rPr>
      </w:pPr>
      <w:r>
        <w:rPr>
          <w:rFonts w:hint="eastAsia" w:ascii="宋体" w:hAnsi="宋体"/>
          <w:b/>
          <w:color w:val="auto"/>
          <w:sz w:val="52"/>
          <w:szCs w:val="20"/>
          <w:highlight w:val="none"/>
        </w:rPr>
        <w:t>湖南省粮油食品进出口集团有限公司</w:t>
      </w:r>
    </w:p>
    <w:p>
      <w:pPr>
        <w:spacing w:line="480" w:lineRule="auto"/>
        <w:jc w:val="center"/>
        <w:rPr>
          <w:rFonts w:ascii="宋体" w:hAnsi="宋体"/>
          <w:b/>
          <w:color w:val="auto"/>
          <w:sz w:val="52"/>
          <w:szCs w:val="20"/>
          <w:highlight w:val="none"/>
        </w:rPr>
      </w:pPr>
    </w:p>
    <w:p>
      <w:pPr>
        <w:ind w:right="-315" w:rightChars="-150"/>
        <w:jc w:val="center"/>
        <w:rPr>
          <w:rFonts w:ascii="宋体" w:hAnsi="宋体"/>
          <w:b/>
          <w:color w:val="auto"/>
          <w:sz w:val="84"/>
          <w:szCs w:val="20"/>
          <w:highlight w:val="none"/>
        </w:rPr>
      </w:pPr>
      <w:r>
        <w:rPr>
          <w:rFonts w:hint="eastAsia" w:ascii="宋体" w:hAnsi="宋体"/>
          <w:b/>
          <w:color w:val="auto"/>
          <w:sz w:val="84"/>
          <w:szCs w:val="20"/>
          <w:highlight w:val="none"/>
        </w:rPr>
        <w:t>竞争性磋商</w:t>
      </w:r>
      <w:r>
        <w:rPr>
          <w:rFonts w:ascii="宋体" w:hAnsi="宋体"/>
          <w:b/>
          <w:color w:val="auto"/>
          <w:sz w:val="84"/>
          <w:szCs w:val="20"/>
          <w:highlight w:val="none"/>
        </w:rPr>
        <w:t>文件</w:t>
      </w:r>
    </w:p>
    <w:p>
      <w:pPr>
        <w:rPr>
          <w:color w:val="auto"/>
          <w:highlight w:val="none"/>
        </w:rPr>
      </w:pPr>
    </w:p>
    <w:p>
      <w:pPr>
        <w:pStyle w:val="31"/>
        <w:spacing w:before="0" w:beforeAutospacing="0" w:after="0" w:afterAutospacing="0" w:line="360" w:lineRule="auto"/>
        <w:jc w:val="center"/>
        <w:rPr>
          <w:rFonts w:ascii="Times New Roman" w:hAnsi="Times New Roman" w:cs="Times New Roman"/>
          <w:b/>
          <w:bCs/>
          <w:color w:val="auto"/>
          <w:sz w:val="30"/>
          <w:szCs w:val="30"/>
          <w:highlight w:val="none"/>
        </w:rPr>
      </w:pPr>
    </w:p>
    <w:p>
      <w:pPr>
        <w:pStyle w:val="31"/>
        <w:spacing w:before="0" w:beforeAutospacing="0" w:after="0" w:afterAutospacing="0" w:line="360" w:lineRule="auto"/>
        <w:jc w:val="center"/>
        <w:rPr>
          <w:rFonts w:ascii="Times New Roman" w:hAnsi="Times New Roman" w:cs="Times New Roman"/>
          <w:b/>
          <w:bCs/>
          <w:color w:val="auto"/>
          <w:sz w:val="30"/>
          <w:szCs w:val="30"/>
          <w:highlight w:val="none"/>
        </w:rPr>
      </w:pPr>
    </w:p>
    <w:p>
      <w:pPr>
        <w:pStyle w:val="31"/>
        <w:spacing w:before="0" w:beforeAutospacing="0" w:after="0" w:afterAutospacing="0" w:line="360" w:lineRule="auto"/>
        <w:jc w:val="center"/>
        <w:rPr>
          <w:rFonts w:ascii="Times New Roman" w:hAnsi="Times New Roman" w:cs="Times New Roman"/>
          <w:b/>
          <w:bCs/>
          <w:color w:val="auto"/>
          <w:sz w:val="30"/>
          <w:szCs w:val="30"/>
          <w:highlight w:val="none"/>
        </w:rPr>
      </w:pPr>
    </w:p>
    <w:p>
      <w:pPr>
        <w:pStyle w:val="31"/>
        <w:spacing w:before="0" w:beforeAutospacing="0" w:after="0" w:afterAutospacing="0" w:line="360" w:lineRule="auto"/>
        <w:jc w:val="center"/>
        <w:rPr>
          <w:rFonts w:ascii="Times New Roman" w:hAnsi="Times New Roman" w:cs="Times New Roman"/>
          <w:b/>
          <w:bCs/>
          <w:color w:val="auto"/>
          <w:sz w:val="30"/>
          <w:szCs w:val="30"/>
          <w:highlight w:val="none"/>
        </w:rPr>
      </w:pPr>
    </w:p>
    <w:p>
      <w:pPr>
        <w:pStyle w:val="31"/>
        <w:spacing w:before="0" w:beforeAutospacing="0" w:after="0" w:afterAutospacing="0" w:line="360" w:lineRule="auto"/>
        <w:jc w:val="center"/>
        <w:rPr>
          <w:rFonts w:ascii="Times New Roman" w:hAnsi="Times New Roman" w:cs="Times New Roman"/>
          <w:b/>
          <w:bCs/>
          <w:color w:val="auto"/>
          <w:sz w:val="30"/>
          <w:szCs w:val="30"/>
          <w:highlight w:val="none"/>
        </w:rPr>
      </w:pPr>
    </w:p>
    <w:p>
      <w:pPr>
        <w:pStyle w:val="31"/>
        <w:spacing w:before="0" w:beforeAutospacing="0" w:after="0" w:afterAutospacing="0" w:line="360" w:lineRule="auto"/>
        <w:jc w:val="center"/>
        <w:rPr>
          <w:rFonts w:ascii="Times New Roman" w:hAnsi="Times New Roman" w:cs="Times New Roman"/>
          <w:b/>
          <w:bCs/>
          <w:color w:val="auto"/>
          <w:sz w:val="30"/>
          <w:szCs w:val="30"/>
          <w:highlight w:val="none"/>
        </w:rPr>
      </w:pPr>
    </w:p>
    <w:p>
      <w:pPr>
        <w:pStyle w:val="31"/>
        <w:spacing w:before="0" w:beforeAutospacing="0" w:after="0" w:afterAutospacing="0" w:line="360" w:lineRule="auto"/>
        <w:jc w:val="center"/>
        <w:rPr>
          <w:rFonts w:ascii="Times New Roman" w:hAnsi="Times New Roman" w:cs="Times New Roman"/>
          <w:b/>
          <w:bCs/>
          <w:color w:val="auto"/>
          <w:sz w:val="30"/>
          <w:szCs w:val="30"/>
          <w:highlight w:val="none"/>
        </w:rPr>
      </w:pPr>
    </w:p>
    <w:p>
      <w:pPr>
        <w:adjustRightInd w:val="0"/>
        <w:snapToGrid w:val="0"/>
        <w:spacing w:line="360" w:lineRule="auto"/>
        <w:ind w:firstLine="1285" w:firstLineChars="400"/>
        <w:jc w:val="left"/>
        <w:rPr>
          <w:rFonts w:ascii="宋体" w:hAnsi="宋体"/>
          <w:b/>
          <w:color w:val="auto"/>
          <w:sz w:val="32"/>
          <w:szCs w:val="32"/>
          <w:highlight w:val="none"/>
        </w:rPr>
      </w:pPr>
      <w:r>
        <w:rPr>
          <w:rFonts w:hint="eastAsia" w:ascii="宋体" w:hAnsi="宋体"/>
          <w:b/>
          <w:color w:val="auto"/>
          <w:sz w:val="32"/>
          <w:szCs w:val="32"/>
          <w:highlight w:val="none"/>
        </w:rPr>
        <w:t>项目名称：办公大楼601会议室升级改造项目</w:t>
      </w:r>
    </w:p>
    <w:p>
      <w:pPr>
        <w:adjustRightInd w:val="0"/>
        <w:snapToGrid w:val="0"/>
        <w:spacing w:line="360" w:lineRule="auto"/>
        <w:ind w:firstLine="1285" w:firstLineChars="400"/>
        <w:jc w:val="left"/>
        <w:rPr>
          <w:rFonts w:ascii="宋体" w:hAnsi="宋体"/>
          <w:b/>
          <w:color w:val="auto"/>
          <w:sz w:val="32"/>
          <w:szCs w:val="32"/>
          <w:highlight w:val="none"/>
        </w:rPr>
      </w:pPr>
    </w:p>
    <w:p>
      <w:pPr>
        <w:adjustRightInd w:val="0"/>
        <w:snapToGrid w:val="0"/>
        <w:spacing w:line="360" w:lineRule="auto"/>
        <w:ind w:firstLine="1285" w:firstLineChars="400"/>
        <w:rPr>
          <w:rFonts w:ascii="宋体" w:hAnsi="宋体"/>
          <w:b/>
          <w:color w:val="auto"/>
          <w:sz w:val="32"/>
          <w:szCs w:val="32"/>
          <w:highlight w:val="none"/>
          <w:u w:val="single"/>
        </w:rPr>
      </w:pPr>
      <w:r>
        <w:rPr>
          <w:rFonts w:hint="eastAsia" w:ascii="宋体" w:hAnsi="宋体"/>
          <w:b/>
          <w:color w:val="auto"/>
          <w:sz w:val="32"/>
          <w:szCs w:val="32"/>
          <w:highlight w:val="none"/>
        </w:rPr>
        <w:t>邀请单位：湖南省粮油食品进出口集团有限公司</w:t>
      </w:r>
    </w:p>
    <w:p>
      <w:pPr>
        <w:pStyle w:val="31"/>
        <w:spacing w:before="0" w:beforeAutospacing="0" w:after="0" w:afterAutospacing="0" w:line="360" w:lineRule="auto"/>
        <w:jc w:val="center"/>
        <w:rPr>
          <w:rFonts w:ascii="Times New Roman" w:hAnsi="Times New Roman" w:cs="Times New Roman"/>
          <w:b/>
          <w:bCs/>
          <w:color w:val="auto"/>
          <w:sz w:val="30"/>
          <w:szCs w:val="30"/>
          <w:highlight w:val="none"/>
        </w:rPr>
      </w:pPr>
    </w:p>
    <w:p>
      <w:pPr>
        <w:pStyle w:val="31"/>
        <w:spacing w:before="0" w:beforeAutospacing="0" w:after="0" w:afterAutospacing="0" w:line="360" w:lineRule="auto"/>
        <w:rPr>
          <w:rFonts w:ascii="仿宋" w:hAnsi="仿宋" w:eastAsia="仿宋" w:cs="仿宋"/>
          <w:b/>
          <w:bCs/>
          <w:color w:val="auto"/>
          <w:sz w:val="32"/>
          <w:szCs w:val="32"/>
          <w:highlight w:val="none"/>
        </w:rPr>
      </w:pPr>
    </w:p>
    <w:p>
      <w:pPr>
        <w:adjustRightInd w:val="0"/>
        <w:snapToGrid w:val="0"/>
        <w:spacing w:line="360" w:lineRule="auto"/>
        <w:ind w:firstLine="1992" w:firstLineChars="620"/>
        <w:rPr>
          <w:rFonts w:ascii="黑体" w:hAnsi="黑体" w:eastAsia="黑体"/>
          <w:color w:val="auto"/>
          <w:sz w:val="32"/>
          <w:szCs w:val="32"/>
          <w:highlight w:val="none"/>
          <w:u w:val="single"/>
        </w:rPr>
      </w:pPr>
      <w:r>
        <w:rPr>
          <w:rFonts w:hint="eastAsia" w:ascii="仿宋" w:hAnsi="仿宋" w:eastAsia="仿宋" w:cs="仿宋"/>
          <w:b/>
          <w:bCs/>
          <w:color w:val="auto"/>
          <w:sz w:val="32"/>
          <w:szCs w:val="32"/>
          <w:highlight w:val="none"/>
        </w:rPr>
        <w:t xml:space="preserve">  </w:t>
      </w:r>
      <w:r>
        <w:rPr>
          <w:rFonts w:hint="eastAsia" w:ascii="黑体" w:hAnsi="黑体" w:eastAsia="黑体"/>
          <w:color w:val="auto"/>
          <w:sz w:val="32"/>
          <w:szCs w:val="32"/>
          <w:highlight w:val="none"/>
        </w:rPr>
        <w:t>供应商：</w:t>
      </w:r>
      <w:r>
        <w:rPr>
          <w:rFonts w:hint="eastAsia" w:ascii="黑体" w:hAnsi="黑体" w:eastAsia="黑体"/>
          <w:color w:val="auto"/>
          <w:sz w:val="32"/>
          <w:szCs w:val="32"/>
          <w:highlight w:val="none"/>
          <w:u w:val="single"/>
        </w:rPr>
        <w:t xml:space="preserve">                         </w:t>
      </w:r>
    </w:p>
    <w:p>
      <w:pPr>
        <w:jc w:val="center"/>
        <w:rPr>
          <w:rFonts w:ascii="宋体" w:hAnsi="宋体"/>
          <w:color w:val="auto"/>
          <w:sz w:val="32"/>
          <w:szCs w:val="32"/>
          <w:highlight w:val="none"/>
        </w:rPr>
      </w:pPr>
      <w:r>
        <w:rPr>
          <w:rFonts w:hint="eastAsia" w:ascii="黑体" w:hAnsi="黑体" w:eastAsia="黑体"/>
          <w:color w:val="auto"/>
          <w:sz w:val="32"/>
          <w:szCs w:val="32"/>
          <w:highlight w:val="none"/>
        </w:rPr>
        <w:t>年  月  日</w:t>
      </w:r>
    </w:p>
    <w:p>
      <w:pPr>
        <w:pStyle w:val="31"/>
        <w:spacing w:before="0" w:beforeAutospacing="0" w:after="0" w:afterAutospacing="0" w:line="480" w:lineRule="auto"/>
        <w:ind w:firstLine="1120" w:firstLineChars="350"/>
        <w:rPr>
          <w:color w:val="auto"/>
          <w:sz w:val="28"/>
          <w:szCs w:val="28"/>
          <w:highlight w:val="none"/>
        </w:rPr>
      </w:pPr>
      <w:r>
        <w:rPr>
          <w:rFonts w:hint="eastAsia" w:ascii="仿宋" w:hAnsi="仿宋" w:eastAsia="仿宋" w:cs="仿宋"/>
          <w:color w:val="auto"/>
          <w:sz w:val="32"/>
          <w:szCs w:val="32"/>
          <w:highlight w:val="none"/>
        </w:rPr>
        <w:br w:type="page"/>
      </w:r>
      <w:bookmarkStart w:id="52" w:name="_Toc106890529"/>
    </w:p>
    <w:p>
      <w:pPr>
        <w:pStyle w:val="3"/>
        <w:jc w:val="center"/>
        <w:rPr>
          <w:rFonts w:ascii="宋体" w:hAnsi="宋体"/>
          <w:color w:val="auto"/>
          <w:sz w:val="28"/>
          <w:szCs w:val="28"/>
          <w:highlight w:val="none"/>
        </w:rPr>
      </w:pPr>
      <w:r>
        <w:rPr>
          <w:rFonts w:hint="eastAsia" w:ascii="宋体" w:hAnsi="宋体"/>
          <w:color w:val="auto"/>
          <w:sz w:val="28"/>
          <w:szCs w:val="28"/>
          <w:highlight w:val="none"/>
        </w:rPr>
        <w:t>一、磋商响应声明</w:t>
      </w:r>
      <w:bookmarkEnd w:id="52"/>
    </w:p>
    <w:p>
      <w:pPr>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 xml:space="preserve"> 湖南省粮油食品进出口集团有限公司  </w:t>
      </w:r>
      <w:r>
        <w:rPr>
          <w:rFonts w:hint="eastAsia" w:ascii="宋体" w:hAnsi="宋体"/>
          <w:color w:val="auto"/>
          <w:szCs w:val="21"/>
          <w:highlight w:val="none"/>
        </w:rPr>
        <w:t xml:space="preserve"> (采购人、采购代理机构)：</w:t>
      </w:r>
    </w:p>
    <w:p>
      <w:pPr>
        <w:adjustRightInd w:val="0"/>
        <w:snapToGrid w:val="0"/>
        <w:spacing w:before="120" w:beforeLines="50" w:line="360" w:lineRule="auto"/>
        <w:ind w:firstLine="435"/>
        <w:rPr>
          <w:rFonts w:ascii="宋体" w:hAnsi="宋体"/>
          <w:color w:val="auto"/>
          <w:szCs w:val="21"/>
          <w:highlight w:val="none"/>
        </w:rPr>
      </w:pPr>
      <w:r>
        <w:rPr>
          <w:rFonts w:hint="eastAsia" w:ascii="宋体" w:hAnsi="宋体"/>
          <w:color w:val="auto"/>
          <w:szCs w:val="21"/>
          <w:highlight w:val="none"/>
        </w:rPr>
        <w:t>根据贵方为</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（项目名称）的磋商邀请，签字代表 </w:t>
      </w:r>
      <w:r>
        <w:rPr>
          <w:rFonts w:hint="eastAsia" w:ascii="宋体" w:hAnsi="宋体"/>
          <w:color w:val="auto"/>
          <w:szCs w:val="21"/>
          <w:highlight w:val="none"/>
          <w:u w:val="single"/>
        </w:rPr>
        <w:t xml:space="preserve">      </w:t>
      </w:r>
      <w:r>
        <w:rPr>
          <w:rFonts w:hint="eastAsia" w:ascii="宋体" w:hAnsi="宋体"/>
          <w:color w:val="auto"/>
          <w:szCs w:val="21"/>
          <w:highlight w:val="none"/>
        </w:rPr>
        <w:t>（姓名、职务）经正式授权并代表供应商</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（供应商名称）提交响应文件正本一份,副本</w:t>
      </w:r>
      <w:r>
        <w:rPr>
          <w:rFonts w:hint="eastAsia" w:ascii="宋体" w:hAnsi="宋体"/>
          <w:color w:val="auto"/>
          <w:szCs w:val="21"/>
          <w:highlight w:val="none"/>
          <w:u w:val="single"/>
        </w:rPr>
        <w:t xml:space="preserve">     </w:t>
      </w:r>
      <w:r>
        <w:rPr>
          <w:rFonts w:hint="eastAsia" w:ascii="宋体" w:hAnsi="宋体"/>
          <w:color w:val="auto"/>
          <w:szCs w:val="21"/>
          <w:highlight w:val="none"/>
        </w:rPr>
        <w:t>份；响应文件电子文档：一份，参加采购项目第</w:t>
      </w:r>
      <w:r>
        <w:rPr>
          <w:rFonts w:hint="eastAsia" w:ascii="宋体" w:hAnsi="宋体"/>
          <w:color w:val="auto"/>
          <w:szCs w:val="21"/>
          <w:highlight w:val="none"/>
          <w:u w:val="single"/>
        </w:rPr>
        <w:t xml:space="preserve">   </w:t>
      </w:r>
      <w:r>
        <w:rPr>
          <w:rFonts w:hint="eastAsia" w:ascii="宋体" w:hAnsi="宋体"/>
          <w:color w:val="auto"/>
          <w:szCs w:val="21"/>
          <w:highlight w:val="none"/>
        </w:rPr>
        <w:t>包磋商，并在此声明，所递交的响应文件内容完整、真实。</w:t>
      </w:r>
    </w:p>
    <w:p>
      <w:pPr>
        <w:adjustRightInd w:val="0"/>
        <w:snapToGrid w:val="0"/>
        <w:spacing w:before="120" w:beforeLines="50"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一、我方已详细审查磋商文件。我们完全理解并同意放弃对这方面有不明及误解的权力。</w:t>
      </w:r>
    </w:p>
    <w:p>
      <w:pPr>
        <w:adjustRightInd w:val="0"/>
        <w:snapToGrid w:val="0"/>
        <w:spacing w:before="120" w:beforeLines="50" w:line="360" w:lineRule="auto"/>
        <w:ind w:firstLine="420" w:firstLineChars="200"/>
        <w:rPr>
          <w:rFonts w:ascii="宋体" w:hAnsi="宋体" w:cs="Courier New"/>
          <w:bCs/>
          <w:color w:val="auto"/>
          <w:szCs w:val="21"/>
          <w:highlight w:val="none"/>
        </w:rPr>
      </w:pPr>
      <w:r>
        <w:rPr>
          <w:rFonts w:hint="eastAsia" w:ascii="宋体" w:hAnsi="宋体" w:cs="Courier New"/>
          <w:color w:val="auto"/>
          <w:szCs w:val="21"/>
          <w:highlight w:val="none"/>
        </w:rPr>
        <w:t>二、我方愿意向贵方提供任何与本项采购有关的数据、情况和技术资料。若贵方需要，我方愿意提供我方作出的一切承诺的证明材料。</w:t>
      </w:r>
    </w:p>
    <w:p>
      <w:pPr>
        <w:adjustRightInd w:val="0"/>
        <w:snapToGrid w:val="0"/>
        <w:spacing w:before="120" w:beforeLines="50"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三、我方愿意按磋商文件规定和磋商小组要求重新提交响应文件和最后报价。</w:t>
      </w:r>
    </w:p>
    <w:p>
      <w:pPr>
        <w:adjustRightInd w:val="0"/>
        <w:snapToGrid w:val="0"/>
        <w:spacing w:before="120" w:beforeLines="50"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四、我方同意在磋商文件中规定的提交首次响应文件截止时间起</w:t>
      </w:r>
      <w:r>
        <w:rPr>
          <w:rFonts w:hint="eastAsia" w:ascii="宋体" w:hAnsi="宋体" w:cs="Courier New"/>
          <w:color w:val="auto"/>
          <w:szCs w:val="21"/>
          <w:highlight w:val="none"/>
          <w:u w:val="single"/>
        </w:rPr>
        <w:t xml:space="preserve">    </w:t>
      </w:r>
      <w:r>
        <w:rPr>
          <w:rFonts w:hint="eastAsia" w:ascii="宋体" w:hAnsi="宋体" w:cs="Courier New"/>
          <w:color w:val="auto"/>
          <w:szCs w:val="21"/>
          <w:highlight w:val="none"/>
        </w:rPr>
        <w:t>日内(响应文件有效期)遵守本响应文件中的承诺且在此期限期满之前均具有法律约束力。</w:t>
      </w:r>
    </w:p>
    <w:p>
      <w:pPr>
        <w:adjustRightInd w:val="0"/>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五、我方的联系方式：</w:t>
      </w:r>
    </w:p>
    <w:p>
      <w:pPr>
        <w:adjustRightInd w:val="0"/>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地址：</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；邮编：</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；电话：</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；电子邮箱：</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adjustRightInd w:val="0"/>
        <w:snapToGrid w:val="0"/>
        <w:spacing w:before="120" w:beforeLines="50" w:line="360" w:lineRule="auto"/>
        <w:rPr>
          <w:rFonts w:ascii="宋体" w:hAnsi="宋体" w:cs="Courier New"/>
          <w:color w:val="auto"/>
          <w:szCs w:val="21"/>
          <w:highlight w:val="none"/>
        </w:rPr>
      </w:pPr>
    </w:p>
    <w:p>
      <w:pPr>
        <w:adjustRightInd w:val="0"/>
        <w:snapToGrid w:val="0"/>
        <w:spacing w:before="120" w:beforeLines="50" w:line="360" w:lineRule="auto"/>
        <w:rPr>
          <w:rFonts w:ascii="宋体" w:hAnsi="宋体" w:cs="Courier New"/>
          <w:color w:val="auto"/>
          <w:szCs w:val="21"/>
          <w:highlight w:val="none"/>
        </w:rPr>
      </w:pPr>
    </w:p>
    <w:p>
      <w:pPr>
        <w:adjustRightInd w:val="0"/>
        <w:snapToGrid w:val="0"/>
        <w:spacing w:before="120" w:beforeLines="50" w:line="360" w:lineRule="auto"/>
        <w:rPr>
          <w:rFonts w:ascii="宋体" w:hAnsi="宋体" w:cs="Courier New"/>
          <w:color w:val="auto"/>
          <w:szCs w:val="21"/>
          <w:highlight w:val="none"/>
        </w:rPr>
      </w:pPr>
      <w:r>
        <w:rPr>
          <w:rFonts w:hint="eastAsia" w:ascii="宋体" w:hAnsi="宋体" w:cs="Courier New"/>
          <w:color w:val="auto"/>
          <w:szCs w:val="21"/>
          <w:highlight w:val="none"/>
        </w:rPr>
        <w:t>供应商名称(盖单位公章)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pPr>
        <w:adjustRightInd w:val="0"/>
        <w:snapToGrid w:val="0"/>
        <w:spacing w:before="120" w:beforeLines="50" w:line="360" w:lineRule="auto"/>
        <w:rPr>
          <w:rFonts w:ascii="宋体" w:hAnsi="宋体"/>
          <w:color w:val="auto"/>
          <w:szCs w:val="21"/>
          <w:highlight w:val="none"/>
          <w:u w:val="single"/>
        </w:rPr>
      </w:pPr>
      <w:r>
        <w:rPr>
          <w:rFonts w:hint="eastAsia" w:ascii="宋体" w:hAnsi="宋体" w:cs="微软雅黑"/>
          <w:color w:val="auto"/>
          <w:spacing w:val="-2"/>
          <w:kern w:val="0"/>
          <w:szCs w:val="21"/>
          <w:highlight w:val="none"/>
        </w:rPr>
        <w:t>法</w:t>
      </w:r>
      <w:r>
        <w:rPr>
          <w:rFonts w:hint="eastAsia" w:ascii="宋体" w:hAnsi="宋体" w:cs="微软雅黑"/>
          <w:color w:val="auto"/>
          <w:kern w:val="0"/>
          <w:szCs w:val="21"/>
          <w:highlight w:val="none"/>
        </w:rPr>
        <w:t>定</w:t>
      </w:r>
      <w:r>
        <w:rPr>
          <w:rFonts w:hint="eastAsia" w:ascii="宋体" w:hAnsi="宋体" w:cs="微软雅黑"/>
          <w:color w:val="auto"/>
          <w:spacing w:val="-2"/>
          <w:kern w:val="0"/>
          <w:szCs w:val="21"/>
          <w:highlight w:val="none"/>
        </w:rPr>
        <w:t>代</w:t>
      </w:r>
      <w:r>
        <w:rPr>
          <w:rFonts w:hint="eastAsia" w:ascii="宋体" w:hAnsi="宋体" w:cs="微软雅黑"/>
          <w:color w:val="auto"/>
          <w:kern w:val="0"/>
          <w:szCs w:val="21"/>
          <w:highlight w:val="none"/>
        </w:rPr>
        <w:t>表</w:t>
      </w:r>
      <w:r>
        <w:rPr>
          <w:rFonts w:hint="eastAsia" w:ascii="宋体" w:hAnsi="宋体" w:cs="微软雅黑"/>
          <w:color w:val="auto"/>
          <w:spacing w:val="-2"/>
          <w:kern w:val="0"/>
          <w:szCs w:val="21"/>
          <w:highlight w:val="none"/>
        </w:rPr>
        <w:t>人</w:t>
      </w:r>
      <w:r>
        <w:rPr>
          <w:rFonts w:hint="eastAsia" w:ascii="宋体" w:hAnsi="宋体" w:cs="微软雅黑"/>
          <w:color w:val="auto"/>
          <w:kern w:val="0"/>
          <w:szCs w:val="21"/>
          <w:highlight w:val="none"/>
        </w:rPr>
        <w:t>（</w:t>
      </w:r>
      <w:r>
        <w:rPr>
          <w:rFonts w:hint="eastAsia" w:ascii="宋体" w:hAnsi="宋体" w:cs="微软雅黑"/>
          <w:color w:val="auto"/>
          <w:spacing w:val="-2"/>
          <w:kern w:val="0"/>
          <w:szCs w:val="21"/>
          <w:highlight w:val="none"/>
        </w:rPr>
        <w:t>单</w:t>
      </w:r>
      <w:r>
        <w:rPr>
          <w:rFonts w:hint="eastAsia" w:ascii="宋体" w:hAnsi="宋体" w:cs="微软雅黑"/>
          <w:color w:val="auto"/>
          <w:kern w:val="0"/>
          <w:szCs w:val="21"/>
          <w:highlight w:val="none"/>
        </w:rPr>
        <w:t>位</w:t>
      </w:r>
      <w:r>
        <w:rPr>
          <w:rFonts w:hint="eastAsia" w:ascii="宋体" w:hAnsi="宋体" w:cs="微软雅黑"/>
          <w:color w:val="auto"/>
          <w:spacing w:val="-2"/>
          <w:kern w:val="0"/>
          <w:szCs w:val="21"/>
          <w:highlight w:val="none"/>
        </w:rPr>
        <w:t>负</w:t>
      </w:r>
      <w:r>
        <w:rPr>
          <w:rFonts w:hint="eastAsia" w:ascii="宋体" w:hAnsi="宋体" w:cs="微软雅黑"/>
          <w:color w:val="auto"/>
          <w:kern w:val="0"/>
          <w:szCs w:val="21"/>
          <w:highlight w:val="none"/>
        </w:rPr>
        <w:t>责人</w:t>
      </w:r>
      <w:r>
        <w:rPr>
          <w:rFonts w:hint="eastAsia" w:ascii="宋体" w:hAnsi="宋体" w:cs="微软雅黑"/>
          <w:color w:val="auto"/>
          <w:spacing w:val="-2"/>
          <w:kern w:val="0"/>
          <w:szCs w:val="21"/>
          <w:highlight w:val="none"/>
        </w:rPr>
        <w:t>）</w:t>
      </w:r>
      <w:r>
        <w:rPr>
          <w:rFonts w:hint="eastAsia" w:ascii="宋体" w:hAnsi="宋体"/>
          <w:color w:val="auto"/>
          <w:szCs w:val="21"/>
          <w:highlight w:val="none"/>
        </w:rPr>
        <w:t>或其授权的代理人（签字或印章）：</w:t>
      </w:r>
      <w:r>
        <w:rPr>
          <w:rFonts w:hint="eastAsia" w:ascii="宋体" w:hAnsi="宋体"/>
          <w:color w:val="auto"/>
          <w:szCs w:val="21"/>
          <w:highlight w:val="none"/>
          <w:u w:val="single"/>
        </w:rPr>
        <w:t xml:space="preserve">               </w:t>
      </w:r>
    </w:p>
    <w:p>
      <w:pPr>
        <w:adjustRightInd w:val="0"/>
        <w:snapToGrid w:val="0"/>
        <w:spacing w:before="120" w:beforeLines="50" w:line="360" w:lineRule="auto"/>
        <w:rPr>
          <w:rFonts w:ascii="宋体" w:hAnsi="宋体"/>
          <w:color w:val="auto"/>
          <w:szCs w:val="21"/>
          <w:highlight w:val="none"/>
        </w:rPr>
      </w:pPr>
      <w:bookmarkStart w:id="53" w:name="_Toc106890530"/>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rPr>
          <w:rFonts w:ascii="宋体" w:hAnsi="宋体"/>
          <w:color w:val="auto"/>
          <w:szCs w:val="21"/>
          <w:highlight w:val="none"/>
        </w:rPr>
      </w:pPr>
      <w:r>
        <w:rPr>
          <w:rFonts w:ascii="宋体" w:hAnsi="宋体"/>
          <w:color w:val="auto"/>
          <w:szCs w:val="21"/>
          <w:highlight w:val="none"/>
        </w:rPr>
        <w:br w:type="page"/>
      </w:r>
    </w:p>
    <w:p>
      <w:pPr>
        <w:pStyle w:val="3"/>
        <w:jc w:val="center"/>
        <w:rPr>
          <w:rFonts w:ascii="宋体" w:hAnsi="宋体"/>
          <w:color w:val="auto"/>
          <w:sz w:val="28"/>
          <w:szCs w:val="28"/>
          <w:highlight w:val="none"/>
        </w:rPr>
      </w:pPr>
      <w:r>
        <w:rPr>
          <w:rFonts w:hint="eastAsia" w:ascii="宋体" w:hAnsi="宋体"/>
          <w:color w:val="auto"/>
          <w:sz w:val="28"/>
          <w:szCs w:val="28"/>
          <w:highlight w:val="none"/>
        </w:rPr>
        <w:t>二、法定代表人（单位负责人）身份证明</w:t>
      </w:r>
      <w:bookmarkEnd w:id="53"/>
    </w:p>
    <w:p>
      <w:pPr>
        <w:tabs>
          <w:tab w:val="left" w:pos="3880"/>
        </w:tabs>
        <w:autoSpaceDE w:val="0"/>
        <w:autoSpaceDN w:val="0"/>
        <w:adjustRightInd w:val="0"/>
        <w:snapToGrid w:val="0"/>
        <w:spacing w:before="120" w:beforeLines="50" w:line="360" w:lineRule="auto"/>
        <w:ind w:left="100" w:right="-20"/>
        <w:jc w:val="left"/>
        <w:rPr>
          <w:rFonts w:ascii="宋体" w:hAnsi="宋体" w:cs="微软雅黑"/>
          <w:color w:val="auto"/>
          <w:kern w:val="0"/>
          <w:position w:val="-4"/>
          <w:szCs w:val="21"/>
          <w:highlight w:val="none"/>
        </w:rPr>
      </w:pPr>
    </w:p>
    <w:p>
      <w:pPr>
        <w:tabs>
          <w:tab w:val="left" w:pos="3880"/>
        </w:tabs>
        <w:autoSpaceDE w:val="0"/>
        <w:autoSpaceDN w:val="0"/>
        <w:adjustRightInd w:val="0"/>
        <w:snapToGrid w:val="0"/>
        <w:spacing w:before="120" w:beforeLines="50" w:line="360" w:lineRule="auto"/>
        <w:ind w:left="100" w:right="-20"/>
        <w:jc w:val="left"/>
        <w:rPr>
          <w:rFonts w:ascii="宋体" w:hAnsi="宋体" w:cs="微软雅黑"/>
          <w:color w:val="auto"/>
          <w:kern w:val="0"/>
          <w:szCs w:val="21"/>
          <w:highlight w:val="none"/>
        </w:rPr>
      </w:pPr>
      <w:r>
        <w:rPr>
          <w:rFonts w:hint="eastAsia" w:ascii="宋体" w:hAnsi="宋体" w:cs="微软雅黑"/>
          <w:color w:val="auto"/>
          <w:kern w:val="0"/>
          <w:position w:val="-4"/>
          <w:szCs w:val="21"/>
          <w:highlight w:val="none"/>
        </w:rPr>
        <w:t>供应商名</w:t>
      </w:r>
      <w:r>
        <w:rPr>
          <w:rFonts w:hint="eastAsia" w:ascii="宋体" w:hAnsi="宋体" w:cs="微软雅黑"/>
          <w:color w:val="auto"/>
          <w:spacing w:val="-2"/>
          <w:kern w:val="0"/>
          <w:position w:val="-4"/>
          <w:szCs w:val="21"/>
          <w:highlight w:val="none"/>
        </w:rPr>
        <w:t>称</w:t>
      </w:r>
      <w:r>
        <w:rPr>
          <w:rFonts w:hint="eastAsia" w:ascii="宋体" w:hAnsi="宋体" w:cs="微软雅黑"/>
          <w:color w:val="auto"/>
          <w:kern w:val="0"/>
          <w:position w:val="-4"/>
          <w:szCs w:val="21"/>
          <w:highlight w:val="none"/>
        </w:rPr>
        <w:t>：</w:t>
      </w:r>
      <w:r>
        <w:rPr>
          <w:rFonts w:hint="eastAsia" w:ascii="宋体" w:hAnsi="宋体"/>
          <w:color w:val="auto"/>
          <w:szCs w:val="21"/>
          <w:highlight w:val="none"/>
          <w:u w:val="single"/>
        </w:rPr>
        <w:t xml:space="preserve">                 </w:t>
      </w:r>
    </w:p>
    <w:p>
      <w:pPr>
        <w:tabs>
          <w:tab w:val="left" w:pos="2400"/>
          <w:tab w:val="left" w:pos="3880"/>
          <w:tab w:val="left" w:pos="5340"/>
          <w:tab w:val="left" w:pos="6820"/>
        </w:tabs>
        <w:autoSpaceDE w:val="0"/>
        <w:autoSpaceDN w:val="0"/>
        <w:adjustRightInd w:val="0"/>
        <w:snapToGrid w:val="0"/>
        <w:spacing w:before="120" w:beforeLines="50" w:line="360" w:lineRule="auto"/>
        <w:ind w:left="100" w:right="-20"/>
        <w:jc w:val="left"/>
        <w:rPr>
          <w:rFonts w:ascii="宋体" w:hAnsi="宋体" w:cs="微软雅黑"/>
          <w:color w:val="auto"/>
          <w:kern w:val="0"/>
          <w:position w:val="-2"/>
          <w:szCs w:val="21"/>
          <w:highlight w:val="none"/>
        </w:rPr>
      </w:pPr>
      <w:r>
        <w:rPr>
          <w:rFonts w:hint="eastAsia" w:ascii="宋体" w:hAnsi="宋体" w:cs="微软雅黑"/>
          <w:color w:val="auto"/>
          <w:kern w:val="0"/>
          <w:position w:val="-2"/>
          <w:szCs w:val="21"/>
          <w:highlight w:val="none"/>
        </w:rPr>
        <w:t>统一社会信用代码：</w:t>
      </w:r>
      <w:r>
        <w:rPr>
          <w:rFonts w:hint="eastAsia" w:ascii="宋体" w:hAnsi="宋体"/>
          <w:color w:val="auto"/>
          <w:szCs w:val="21"/>
          <w:highlight w:val="none"/>
          <w:u w:val="single"/>
        </w:rPr>
        <w:t xml:space="preserve">                 </w:t>
      </w:r>
    </w:p>
    <w:p>
      <w:pPr>
        <w:tabs>
          <w:tab w:val="left" w:pos="2400"/>
          <w:tab w:val="left" w:pos="3880"/>
          <w:tab w:val="left" w:pos="5340"/>
          <w:tab w:val="left" w:pos="6820"/>
        </w:tabs>
        <w:autoSpaceDE w:val="0"/>
        <w:autoSpaceDN w:val="0"/>
        <w:adjustRightInd w:val="0"/>
        <w:snapToGrid w:val="0"/>
        <w:spacing w:before="120" w:beforeLines="50" w:line="360" w:lineRule="auto"/>
        <w:ind w:left="100" w:right="-20"/>
        <w:jc w:val="left"/>
        <w:rPr>
          <w:rFonts w:ascii="宋体" w:hAnsi="宋体" w:cs="微软雅黑"/>
          <w:color w:val="auto"/>
          <w:kern w:val="0"/>
          <w:position w:val="-2"/>
          <w:szCs w:val="21"/>
          <w:highlight w:val="none"/>
        </w:rPr>
      </w:pPr>
      <w:r>
        <w:rPr>
          <w:rFonts w:hint="eastAsia" w:ascii="宋体" w:hAnsi="宋体" w:cs="微软雅黑"/>
          <w:color w:val="auto"/>
          <w:kern w:val="0"/>
          <w:position w:val="-2"/>
          <w:szCs w:val="21"/>
          <w:highlight w:val="none"/>
        </w:rPr>
        <w:t>注册地址：</w:t>
      </w:r>
      <w:r>
        <w:rPr>
          <w:rFonts w:hint="eastAsia" w:ascii="宋体" w:hAnsi="宋体"/>
          <w:color w:val="auto"/>
          <w:szCs w:val="21"/>
          <w:highlight w:val="none"/>
          <w:u w:val="single"/>
        </w:rPr>
        <w:t xml:space="preserve">                 </w:t>
      </w:r>
    </w:p>
    <w:p>
      <w:pPr>
        <w:tabs>
          <w:tab w:val="left" w:pos="2400"/>
          <w:tab w:val="left" w:pos="3880"/>
          <w:tab w:val="left" w:pos="5340"/>
          <w:tab w:val="left" w:pos="6820"/>
        </w:tabs>
        <w:autoSpaceDE w:val="0"/>
        <w:autoSpaceDN w:val="0"/>
        <w:adjustRightInd w:val="0"/>
        <w:snapToGrid w:val="0"/>
        <w:spacing w:before="120" w:beforeLines="50" w:line="360" w:lineRule="auto"/>
        <w:ind w:left="102" w:right="-23" w:firstLine="420" w:firstLineChars="200"/>
        <w:jc w:val="left"/>
        <w:rPr>
          <w:rFonts w:ascii="宋体" w:hAnsi="宋体" w:cs="微软雅黑"/>
          <w:color w:val="auto"/>
          <w:kern w:val="0"/>
          <w:szCs w:val="21"/>
          <w:highlight w:val="none"/>
        </w:rPr>
      </w:pPr>
      <w:r>
        <w:rPr>
          <w:rFonts w:hint="eastAsia" w:ascii="宋体" w:hAnsi="宋体" w:cs="微软雅黑"/>
          <w:color w:val="auto"/>
          <w:kern w:val="0"/>
          <w:position w:val="-2"/>
          <w:szCs w:val="21"/>
          <w:highlight w:val="none"/>
        </w:rPr>
        <w:t>姓名</w:t>
      </w:r>
      <w:r>
        <w:rPr>
          <w:rFonts w:hint="eastAsia" w:ascii="宋体" w:hAnsi="宋体" w:cs="微软雅黑"/>
          <w:color w:val="auto"/>
          <w:spacing w:val="-2"/>
          <w:kern w:val="0"/>
          <w:position w:val="-2"/>
          <w:szCs w:val="21"/>
          <w:highlight w:val="none"/>
        </w:rPr>
        <w:t>：</w:t>
      </w:r>
      <w:r>
        <w:rPr>
          <w:rFonts w:hint="eastAsia" w:ascii="宋体" w:hAnsi="宋体"/>
          <w:color w:val="auto"/>
          <w:szCs w:val="21"/>
          <w:highlight w:val="none"/>
          <w:u w:val="single"/>
        </w:rPr>
        <w:t xml:space="preserve">         </w:t>
      </w:r>
      <w:r>
        <w:rPr>
          <w:rFonts w:hint="eastAsia" w:ascii="宋体" w:hAnsi="宋体" w:cs="微软雅黑"/>
          <w:color w:val="auto"/>
          <w:kern w:val="0"/>
          <w:position w:val="-2"/>
          <w:szCs w:val="21"/>
          <w:highlight w:val="none"/>
        </w:rPr>
        <w:t>性别</w:t>
      </w:r>
      <w:r>
        <w:rPr>
          <w:rFonts w:hint="eastAsia" w:ascii="宋体" w:hAnsi="宋体" w:cs="微软雅黑"/>
          <w:color w:val="auto"/>
          <w:spacing w:val="-2"/>
          <w:kern w:val="0"/>
          <w:position w:val="-2"/>
          <w:szCs w:val="21"/>
          <w:highlight w:val="none"/>
        </w:rPr>
        <w:t>：</w:t>
      </w:r>
      <w:r>
        <w:rPr>
          <w:rFonts w:hint="eastAsia" w:ascii="宋体" w:hAnsi="宋体"/>
          <w:color w:val="auto"/>
          <w:szCs w:val="21"/>
          <w:highlight w:val="none"/>
          <w:u w:val="single"/>
        </w:rPr>
        <w:t xml:space="preserve">         </w:t>
      </w:r>
      <w:r>
        <w:rPr>
          <w:rFonts w:hint="eastAsia" w:ascii="宋体" w:hAnsi="宋体" w:cs="微软雅黑"/>
          <w:color w:val="auto"/>
          <w:kern w:val="0"/>
          <w:position w:val="-2"/>
          <w:szCs w:val="21"/>
          <w:highlight w:val="none"/>
        </w:rPr>
        <w:t>年</w:t>
      </w:r>
      <w:r>
        <w:rPr>
          <w:rFonts w:hint="eastAsia" w:ascii="宋体" w:hAnsi="宋体" w:cs="微软雅黑"/>
          <w:color w:val="auto"/>
          <w:spacing w:val="-2"/>
          <w:kern w:val="0"/>
          <w:position w:val="-2"/>
          <w:szCs w:val="21"/>
          <w:highlight w:val="none"/>
        </w:rPr>
        <w:t>龄</w:t>
      </w:r>
      <w:r>
        <w:rPr>
          <w:rFonts w:hint="eastAsia" w:ascii="宋体" w:hAnsi="宋体" w:cs="微软雅黑"/>
          <w:color w:val="auto"/>
          <w:kern w:val="0"/>
          <w:position w:val="-2"/>
          <w:szCs w:val="21"/>
          <w:highlight w:val="none"/>
        </w:rPr>
        <w:t>：</w:t>
      </w:r>
      <w:r>
        <w:rPr>
          <w:rFonts w:hint="eastAsia" w:ascii="宋体" w:hAnsi="宋体"/>
          <w:color w:val="auto"/>
          <w:szCs w:val="21"/>
          <w:highlight w:val="none"/>
          <w:u w:val="single"/>
        </w:rPr>
        <w:t xml:space="preserve">         </w:t>
      </w:r>
      <w:r>
        <w:rPr>
          <w:rFonts w:hint="eastAsia" w:ascii="宋体" w:hAnsi="宋体" w:cs="微软雅黑"/>
          <w:color w:val="auto"/>
          <w:kern w:val="0"/>
          <w:position w:val="-2"/>
          <w:szCs w:val="21"/>
          <w:highlight w:val="none"/>
        </w:rPr>
        <w:t>职</w:t>
      </w:r>
      <w:r>
        <w:rPr>
          <w:rFonts w:hint="eastAsia" w:ascii="宋体" w:hAnsi="宋体" w:cs="微软雅黑"/>
          <w:color w:val="auto"/>
          <w:spacing w:val="-2"/>
          <w:kern w:val="0"/>
          <w:position w:val="-2"/>
          <w:szCs w:val="21"/>
          <w:highlight w:val="none"/>
        </w:rPr>
        <w:t>务</w:t>
      </w:r>
      <w:r>
        <w:rPr>
          <w:rFonts w:hint="eastAsia" w:ascii="宋体" w:hAnsi="宋体" w:cs="微软雅黑"/>
          <w:color w:val="auto"/>
          <w:kern w:val="0"/>
          <w:position w:val="-2"/>
          <w:szCs w:val="21"/>
          <w:highlight w:val="none"/>
        </w:rPr>
        <w:t>：</w:t>
      </w:r>
      <w:r>
        <w:rPr>
          <w:rFonts w:hint="eastAsia" w:ascii="宋体" w:hAnsi="宋体"/>
          <w:color w:val="auto"/>
          <w:szCs w:val="21"/>
          <w:highlight w:val="none"/>
          <w:u w:val="single"/>
        </w:rPr>
        <w:t xml:space="preserve">         </w:t>
      </w:r>
      <w:r>
        <w:rPr>
          <w:rFonts w:hint="eastAsia" w:ascii="宋体" w:hAnsi="宋体" w:cs="微软雅黑"/>
          <w:color w:val="auto"/>
          <w:kern w:val="0"/>
          <w:position w:val="-2"/>
          <w:szCs w:val="21"/>
          <w:highlight w:val="none"/>
        </w:rPr>
        <w:t>系</w:t>
      </w:r>
      <w:r>
        <w:rPr>
          <w:rFonts w:hint="eastAsia" w:ascii="宋体" w:hAnsi="宋体"/>
          <w:color w:val="auto"/>
          <w:szCs w:val="21"/>
          <w:highlight w:val="none"/>
          <w:u w:val="single"/>
        </w:rPr>
        <w:t xml:space="preserve">         </w:t>
      </w:r>
      <w:r>
        <w:rPr>
          <w:rFonts w:hint="eastAsia" w:ascii="宋体" w:hAnsi="宋体" w:cs="微软雅黑"/>
          <w:color w:val="auto"/>
          <w:spacing w:val="-2"/>
          <w:kern w:val="0"/>
          <w:position w:val="-2"/>
          <w:szCs w:val="21"/>
          <w:highlight w:val="none"/>
        </w:rPr>
        <w:t>（</w:t>
      </w:r>
      <w:r>
        <w:rPr>
          <w:rFonts w:hint="eastAsia" w:ascii="宋体" w:hAnsi="宋体" w:cs="微软雅黑"/>
          <w:color w:val="auto"/>
          <w:kern w:val="0"/>
          <w:position w:val="-2"/>
          <w:szCs w:val="21"/>
          <w:highlight w:val="none"/>
        </w:rPr>
        <w:t>供应商</w:t>
      </w:r>
      <w:r>
        <w:rPr>
          <w:rFonts w:hint="eastAsia" w:ascii="宋体" w:hAnsi="宋体" w:cs="微软雅黑"/>
          <w:color w:val="auto"/>
          <w:spacing w:val="-2"/>
          <w:kern w:val="0"/>
          <w:position w:val="-2"/>
          <w:szCs w:val="21"/>
          <w:highlight w:val="none"/>
        </w:rPr>
        <w:t>名</w:t>
      </w:r>
      <w:r>
        <w:rPr>
          <w:rFonts w:hint="eastAsia" w:ascii="宋体" w:hAnsi="宋体" w:cs="微软雅黑"/>
          <w:color w:val="auto"/>
          <w:kern w:val="0"/>
          <w:position w:val="-2"/>
          <w:szCs w:val="21"/>
          <w:highlight w:val="none"/>
        </w:rPr>
        <w:t>称</w:t>
      </w:r>
      <w:r>
        <w:rPr>
          <w:rFonts w:hint="eastAsia" w:ascii="宋体" w:hAnsi="宋体" w:cs="微软雅黑"/>
          <w:color w:val="auto"/>
          <w:spacing w:val="-2"/>
          <w:kern w:val="0"/>
          <w:position w:val="-2"/>
          <w:szCs w:val="21"/>
          <w:highlight w:val="none"/>
        </w:rPr>
        <w:t>）</w:t>
      </w:r>
      <w:r>
        <w:rPr>
          <w:rFonts w:hint="eastAsia" w:ascii="宋体" w:hAnsi="宋体" w:cs="微软雅黑"/>
          <w:color w:val="auto"/>
          <w:kern w:val="0"/>
          <w:position w:val="-2"/>
          <w:szCs w:val="21"/>
          <w:highlight w:val="none"/>
        </w:rPr>
        <w:t>的</w:t>
      </w:r>
      <w:r>
        <w:rPr>
          <w:rFonts w:hint="eastAsia" w:ascii="宋体" w:hAnsi="宋体" w:cs="微软雅黑"/>
          <w:color w:val="auto"/>
          <w:spacing w:val="-2"/>
          <w:kern w:val="0"/>
          <w:position w:val="-2"/>
          <w:szCs w:val="21"/>
          <w:highlight w:val="none"/>
        </w:rPr>
        <w:t>法定</w:t>
      </w:r>
      <w:r>
        <w:rPr>
          <w:rFonts w:hint="eastAsia" w:ascii="宋体" w:hAnsi="宋体" w:cs="微软雅黑"/>
          <w:color w:val="auto"/>
          <w:kern w:val="0"/>
          <w:position w:val="-2"/>
          <w:szCs w:val="21"/>
          <w:highlight w:val="none"/>
        </w:rPr>
        <w:t>代表</w:t>
      </w:r>
      <w:r>
        <w:rPr>
          <w:rFonts w:hint="eastAsia" w:ascii="宋体" w:hAnsi="宋体" w:cs="微软雅黑"/>
          <w:color w:val="auto"/>
          <w:spacing w:val="-2"/>
          <w:kern w:val="0"/>
          <w:position w:val="-2"/>
          <w:szCs w:val="21"/>
          <w:highlight w:val="none"/>
        </w:rPr>
        <w:t>人</w:t>
      </w:r>
      <w:r>
        <w:rPr>
          <w:rFonts w:hint="eastAsia" w:ascii="宋体" w:hAnsi="宋体" w:cs="微软雅黑"/>
          <w:color w:val="auto"/>
          <w:kern w:val="0"/>
          <w:position w:val="-2"/>
          <w:szCs w:val="21"/>
          <w:highlight w:val="none"/>
        </w:rPr>
        <w:t>（</w:t>
      </w:r>
      <w:r>
        <w:rPr>
          <w:rFonts w:hint="eastAsia" w:ascii="宋体" w:hAnsi="宋体" w:cs="微软雅黑"/>
          <w:color w:val="auto"/>
          <w:spacing w:val="-2"/>
          <w:kern w:val="0"/>
          <w:position w:val="-2"/>
          <w:szCs w:val="21"/>
          <w:highlight w:val="none"/>
        </w:rPr>
        <w:t>单</w:t>
      </w:r>
      <w:r>
        <w:rPr>
          <w:rFonts w:hint="eastAsia" w:ascii="宋体" w:hAnsi="宋体" w:cs="微软雅黑"/>
          <w:color w:val="auto"/>
          <w:kern w:val="0"/>
          <w:position w:val="-2"/>
          <w:szCs w:val="21"/>
          <w:highlight w:val="none"/>
        </w:rPr>
        <w:t>位</w:t>
      </w:r>
      <w:r>
        <w:rPr>
          <w:rFonts w:hint="eastAsia" w:ascii="宋体" w:hAnsi="宋体" w:cs="微软雅黑"/>
          <w:color w:val="auto"/>
          <w:spacing w:val="-2"/>
          <w:kern w:val="0"/>
          <w:position w:val="-2"/>
          <w:szCs w:val="21"/>
          <w:highlight w:val="none"/>
        </w:rPr>
        <w:t>负</w:t>
      </w:r>
      <w:r>
        <w:rPr>
          <w:rFonts w:hint="eastAsia" w:ascii="宋体" w:hAnsi="宋体" w:cs="微软雅黑"/>
          <w:color w:val="auto"/>
          <w:kern w:val="0"/>
          <w:position w:val="-2"/>
          <w:szCs w:val="21"/>
          <w:highlight w:val="none"/>
        </w:rPr>
        <w:t>责</w:t>
      </w:r>
      <w:r>
        <w:rPr>
          <w:rFonts w:hint="eastAsia" w:ascii="宋体" w:hAnsi="宋体" w:cs="微软雅黑"/>
          <w:color w:val="auto"/>
          <w:spacing w:val="-2"/>
          <w:kern w:val="0"/>
          <w:position w:val="-2"/>
          <w:szCs w:val="21"/>
          <w:highlight w:val="none"/>
        </w:rPr>
        <w:t>人</w:t>
      </w:r>
      <w:r>
        <w:rPr>
          <w:rFonts w:hint="eastAsia" w:ascii="宋体" w:hAnsi="宋体" w:cs="微软雅黑"/>
          <w:color w:val="auto"/>
          <w:kern w:val="0"/>
          <w:position w:val="-2"/>
          <w:szCs w:val="21"/>
          <w:highlight w:val="none"/>
        </w:rPr>
        <w:t>）。</w:t>
      </w:r>
    </w:p>
    <w:p>
      <w:pPr>
        <w:autoSpaceDE w:val="0"/>
        <w:autoSpaceDN w:val="0"/>
        <w:adjustRightInd w:val="0"/>
        <w:snapToGrid w:val="0"/>
        <w:spacing w:before="120" w:beforeLines="50" w:line="360" w:lineRule="auto"/>
        <w:ind w:left="520" w:right="-20"/>
        <w:jc w:val="left"/>
        <w:rPr>
          <w:rFonts w:ascii="宋体" w:hAnsi="宋体" w:cs="微软雅黑"/>
          <w:color w:val="auto"/>
          <w:kern w:val="0"/>
          <w:szCs w:val="21"/>
          <w:highlight w:val="none"/>
        </w:rPr>
      </w:pPr>
      <w:r>
        <w:rPr>
          <w:rFonts w:hint="eastAsia" w:ascii="宋体" w:hAnsi="宋体" w:cs="微软雅黑"/>
          <w:color w:val="auto"/>
          <w:kern w:val="0"/>
          <w:szCs w:val="21"/>
          <w:highlight w:val="none"/>
        </w:rPr>
        <w:t>特此</w:t>
      </w:r>
      <w:r>
        <w:rPr>
          <w:rFonts w:hint="eastAsia" w:ascii="宋体" w:hAnsi="宋体" w:cs="微软雅黑"/>
          <w:color w:val="auto"/>
          <w:spacing w:val="-2"/>
          <w:kern w:val="0"/>
          <w:szCs w:val="21"/>
          <w:highlight w:val="none"/>
        </w:rPr>
        <w:t>证</w:t>
      </w:r>
      <w:r>
        <w:rPr>
          <w:rFonts w:hint="eastAsia" w:ascii="宋体" w:hAnsi="宋体" w:cs="微软雅黑"/>
          <w:color w:val="auto"/>
          <w:kern w:val="0"/>
          <w:szCs w:val="21"/>
          <w:highlight w:val="none"/>
        </w:rPr>
        <w:t>明。</w:t>
      </w:r>
    </w:p>
    <w:p>
      <w:pPr>
        <w:autoSpaceDE w:val="0"/>
        <w:autoSpaceDN w:val="0"/>
        <w:adjustRightInd w:val="0"/>
        <w:snapToGrid w:val="0"/>
        <w:spacing w:before="120" w:beforeLines="50" w:line="360" w:lineRule="auto"/>
        <w:ind w:left="100" w:right="4231"/>
        <w:jc w:val="left"/>
        <w:rPr>
          <w:rFonts w:ascii="宋体" w:hAnsi="宋体" w:cs="微软雅黑"/>
          <w:color w:val="auto"/>
          <w:kern w:val="0"/>
          <w:szCs w:val="21"/>
          <w:highlight w:val="none"/>
        </w:rPr>
      </w:pPr>
      <w:r>
        <w:rPr>
          <w:rFonts w:hint="eastAsia" w:ascii="宋体" w:hAnsi="宋体" w:cs="微软雅黑"/>
          <w:color w:val="auto"/>
          <w:kern w:val="0"/>
          <w:szCs w:val="21"/>
          <w:highlight w:val="none"/>
        </w:rPr>
        <w:t>附：</w:t>
      </w:r>
      <w:r>
        <w:rPr>
          <w:rFonts w:hint="eastAsia" w:ascii="宋体" w:hAnsi="宋体" w:cs="微软雅黑"/>
          <w:color w:val="auto"/>
          <w:spacing w:val="-2"/>
          <w:kern w:val="0"/>
          <w:szCs w:val="21"/>
          <w:highlight w:val="none"/>
        </w:rPr>
        <w:t>法</w:t>
      </w:r>
      <w:r>
        <w:rPr>
          <w:rFonts w:hint="eastAsia" w:ascii="宋体" w:hAnsi="宋体" w:cs="微软雅黑"/>
          <w:color w:val="auto"/>
          <w:kern w:val="0"/>
          <w:szCs w:val="21"/>
          <w:highlight w:val="none"/>
        </w:rPr>
        <w:t>定</w:t>
      </w:r>
      <w:r>
        <w:rPr>
          <w:rFonts w:hint="eastAsia" w:ascii="宋体" w:hAnsi="宋体" w:cs="微软雅黑"/>
          <w:color w:val="auto"/>
          <w:spacing w:val="-2"/>
          <w:kern w:val="0"/>
          <w:szCs w:val="21"/>
          <w:highlight w:val="none"/>
        </w:rPr>
        <w:t>代</w:t>
      </w:r>
      <w:r>
        <w:rPr>
          <w:rFonts w:hint="eastAsia" w:ascii="宋体" w:hAnsi="宋体" w:cs="微软雅黑"/>
          <w:color w:val="auto"/>
          <w:kern w:val="0"/>
          <w:szCs w:val="21"/>
          <w:highlight w:val="none"/>
        </w:rPr>
        <w:t>表</w:t>
      </w:r>
      <w:r>
        <w:rPr>
          <w:rFonts w:hint="eastAsia" w:ascii="宋体" w:hAnsi="宋体" w:cs="微软雅黑"/>
          <w:color w:val="auto"/>
          <w:spacing w:val="-2"/>
          <w:kern w:val="0"/>
          <w:szCs w:val="21"/>
          <w:highlight w:val="none"/>
        </w:rPr>
        <w:t>人</w:t>
      </w:r>
      <w:r>
        <w:rPr>
          <w:rFonts w:hint="eastAsia" w:ascii="宋体" w:hAnsi="宋体" w:cs="微软雅黑"/>
          <w:color w:val="auto"/>
          <w:kern w:val="0"/>
          <w:szCs w:val="21"/>
          <w:highlight w:val="none"/>
        </w:rPr>
        <w:t>（</w:t>
      </w:r>
      <w:r>
        <w:rPr>
          <w:rFonts w:hint="eastAsia" w:ascii="宋体" w:hAnsi="宋体" w:cs="微软雅黑"/>
          <w:color w:val="auto"/>
          <w:spacing w:val="-2"/>
          <w:kern w:val="0"/>
          <w:szCs w:val="21"/>
          <w:highlight w:val="none"/>
        </w:rPr>
        <w:t>单</w:t>
      </w:r>
      <w:r>
        <w:rPr>
          <w:rFonts w:hint="eastAsia" w:ascii="宋体" w:hAnsi="宋体" w:cs="微软雅黑"/>
          <w:color w:val="auto"/>
          <w:kern w:val="0"/>
          <w:szCs w:val="21"/>
          <w:highlight w:val="none"/>
        </w:rPr>
        <w:t>位</w:t>
      </w:r>
      <w:r>
        <w:rPr>
          <w:rFonts w:hint="eastAsia" w:ascii="宋体" w:hAnsi="宋体" w:cs="微软雅黑"/>
          <w:color w:val="auto"/>
          <w:spacing w:val="-2"/>
          <w:kern w:val="0"/>
          <w:szCs w:val="21"/>
          <w:highlight w:val="none"/>
        </w:rPr>
        <w:t>负</w:t>
      </w:r>
      <w:r>
        <w:rPr>
          <w:rFonts w:hint="eastAsia" w:ascii="宋体" w:hAnsi="宋体" w:cs="微软雅黑"/>
          <w:color w:val="auto"/>
          <w:kern w:val="0"/>
          <w:szCs w:val="21"/>
          <w:highlight w:val="none"/>
        </w:rPr>
        <w:t>责人</w:t>
      </w:r>
      <w:r>
        <w:rPr>
          <w:rFonts w:hint="eastAsia" w:ascii="宋体" w:hAnsi="宋体" w:cs="微软雅黑"/>
          <w:color w:val="auto"/>
          <w:spacing w:val="-2"/>
          <w:kern w:val="0"/>
          <w:szCs w:val="21"/>
          <w:highlight w:val="none"/>
        </w:rPr>
        <w:t>）</w:t>
      </w:r>
      <w:r>
        <w:rPr>
          <w:rFonts w:hint="eastAsia" w:ascii="宋体" w:hAnsi="宋体" w:cs="微软雅黑"/>
          <w:color w:val="auto"/>
          <w:kern w:val="0"/>
          <w:szCs w:val="21"/>
          <w:highlight w:val="none"/>
        </w:rPr>
        <w:t>身</w:t>
      </w:r>
      <w:r>
        <w:rPr>
          <w:rFonts w:hint="eastAsia" w:ascii="宋体" w:hAnsi="宋体" w:cs="微软雅黑"/>
          <w:color w:val="auto"/>
          <w:spacing w:val="-2"/>
          <w:kern w:val="0"/>
          <w:szCs w:val="21"/>
          <w:highlight w:val="none"/>
        </w:rPr>
        <w:t>份</w:t>
      </w:r>
      <w:r>
        <w:rPr>
          <w:rFonts w:hint="eastAsia" w:ascii="宋体" w:hAnsi="宋体" w:cs="微软雅黑"/>
          <w:color w:val="auto"/>
          <w:kern w:val="0"/>
          <w:szCs w:val="21"/>
          <w:highlight w:val="none"/>
        </w:rPr>
        <w:t>证</w:t>
      </w:r>
      <w:r>
        <w:rPr>
          <w:rFonts w:hint="eastAsia" w:ascii="宋体" w:hAnsi="宋体" w:cs="微软雅黑"/>
          <w:color w:val="auto"/>
          <w:spacing w:val="-2"/>
          <w:kern w:val="0"/>
          <w:szCs w:val="21"/>
          <w:highlight w:val="none"/>
        </w:rPr>
        <w:t>复</w:t>
      </w:r>
      <w:r>
        <w:rPr>
          <w:rFonts w:hint="eastAsia" w:ascii="宋体" w:hAnsi="宋体" w:cs="微软雅黑"/>
          <w:color w:val="auto"/>
          <w:kern w:val="0"/>
          <w:szCs w:val="21"/>
          <w:highlight w:val="none"/>
        </w:rPr>
        <w:t>印</w:t>
      </w:r>
      <w:r>
        <w:rPr>
          <w:rFonts w:hint="eastAsia" w:ascii="宋体" w:hAnsi="宋体" w:cs="微软雅黑"/>
          <w:color w:val="auto"/>
          <w:spacing w:val="-2"/>
          <w:kern w:val="0"/>
          <w:szCs w:val="21"/>
          <w:highlight w:val="none"/>
        </w:rPr>
        <w:t>件</w:t>
      </w:r>
      <w:r>
        <w:rPr>
          <w:rFonts w:hint="eastAsia" w:ascii="宋体" w:hAnsi="宋体" w:cs="微软雅黑"/>
          <w:color w:val="auto"/>
          <w:kern w:val="0"/>
          <w:szCs w:val="21"/>
          <w:highlight w:val="none"/>
        </w:rPr>
        <w:t>。</w:t>
      </w:r>
    </w:p>
    <w:tbl>
      <w:tblPr>
        <w:tblStyle w:val="37"/>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8"/>
        <w:gridCol w:w="3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shd w:val="clear" w:color="auto" w:fill="auto"/>
            <w:vAlign w:val="center"/>
          </w:tcPr>
          <w:p>
            <w:pPr>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身份证（正面）</w:t>
            </w:r>
            <w:r>
              <w:rPr>
                <w:rFonts w:hint="eastAsia" w:ascii="宋体" w:hAnsi="宋体" w:cs="微软雅黑"/>
                <w:color w:val="auto"/>
                <w:spacing w:val="-2"/>
                <w:kern w:val="0"/>
                <w:szCs w:val="21"/>
                <w:highlight w:val="none"/>
              </w:rPr>
              <w:t>复</w:t>
            </w:r>
            <w:r>
              <w:rPr>
                <w:rFonts w:hint="eastAsia" w:ascii="宋体" w:hAnsi="宋体" w:cs="微软雅黑"/>
                <w:color w:val="auto"/>
                <w:kern w:val="0"/>
                <w:szCs w:val="21"/>
                <w:highlight w:val="none"/>
              </w:rPr>
              <w:t>印</w:t>
            </w:r>
            <w:r>
              <w:rPr>
                <w:rFonts w:hint="eastAsia" w:ascii="宋体" w:hAnsi="宋体" w:cs="微软雅黑"/>
                <w:color w:val="auto"/>
                <w:spacing w:val="-2"/>
                <w:kern w:val="0"/>
                <w:szCs w:val="21"/>
                <w:highlight w:val="none"/>
              </w:rPr>
              <w:t>件</w:t>
            </w:r>
          </w:p>
        </w:tc>
        <w:tc>
          <w:tcPr>
            <w:tcW w:w="3899" w:type="dxa"/>
            <w:shd w:val="clear" w:color="auto" w:fill="auto"/>
            <w:vAlign w:val="center"/>
          </w:tcPr>
          <w:p>
            <w:pPr>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身份证（反面）</w:t>
            </w:r>
            <w:r>
              <w:rPr>
                <w:rFonts w:hint="eastAsia" w:ascii="宋体" w:hAnsi="宋体" w:cs="微软雅黑"/>
                <w:color w:val="auto"/>
                <w:spacing w:val="-2"/>
                <w:kern w:val="0"/>
                <w:szCs w:val="21"/>
                <w:highlight w:val="none"/>
              </w:rPr>
              <w:t>复</w:t>
            </w:r>
            <w:r>
              <w:rPr>
                <w:rFonts w:hint="eastAsia" w:ascii="宋体" w:hAnsi="宋体" w:cs="微软雅黑"/>
                <w:color w:val="auto"/>
                <w:kern w:val="0"/>
                <w:szCs w:val="21"/>
                <w:highlight w:val="none"/>
              </w:rPr>
              <w:t>印</w:t>
            </w:r>
            <w:r>
              <w:rPr>
                <w:rFonts w:hint="eastAsia" w:ascii="宋体" w:hAnsi="宋体" w:cs="微软雅黑"/>
                <w:color w:val="auto"/>
                <w:spacing w:val="-2"/>
                <w:kern w:val="0"/>
                <w:szCs w:val="21"/>
                <w:highlight w:val="none"/>
              </w:rPr>
              <w:t>件</w:t>
            </w:r>
          </w:p>
        </w:tc>
      </w:tr>
    </w:tbl>
    <w:p>
      <w:pPr>
        <w:adjustRightInd w:val="0"/>
        <w:snapToGrid w:val="0"/>
        <w:spacing w:before="120" w:beforeLines="50" w:line="360" w:lineRule="auto"/>
        <w:rPr>
          <w:rFonts w:ascii="宋体" w:hAnsi="宋体"/>
          <w:color w:val="auto"/>
          <w:szCs w:val="21"/>
          <w:highlight w:val="none"/>
        </w:rPr>
      </w:pPr>
    </w:p>
    <w:p>
      <w:pPr>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注：供应商代表为法定代表人（单位负责人）的提供。供应商为自然人的无需提供。</w:t>
      </w:r>
    </w:p>
    <w:p>
      <w:pPr>
        <w:adjustRightInd w:val="0"/>
        <w:snapToGrid w:val="0"/>
        <w:spacing w:before="120" w:beforeLines="50" w:line="360" w:lineRule="auto"/>
        <w:rPr>
          <w:rFonts w:ascii="宋体" w:hAnsi="宋体"/>
          <w:color w:val="auto"/>
          <w:szCs w:val="21"/>
          <w:highlight w:val="none"/>
        </w:rPr>
      </w:pPr>
    </w:p>
    <w:p>
      <w:pPr>
        <w:adjustRightInd w:val="0"/>
        <w:snapToGrid w:val="0"/>
        <w:spacing w:before="120" w:beforeLines="50" w:line="360" w:lineRule="auto"/>
        <w:rPr>
          <w:rFonts w:ascii="宋体" w:hAnsi="宋体" w:cs="Courier New"/>
          <w:color w:val="auto"/>
          <w:szCs w:val="21"/>
          <w:highlight w:val="none"/>
        </w:rPr>
      </w:pPr>
      <w:r>
        <w:rPr>
          <w:rFonts w:hint="eastAsia" w:ascii="宋体" w:hAnsi="宋体" w:cs="Courier New"/>
          <w:color w:val="auto"/>
          <w:szCs w:val="21"/>
          <w:highlight w:val="none"/>
        </w:rPr>
        <w:t>供应商名称(盖单位公章)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pPr>
        <w:adjustRightInd w:val="0"/>
        <w:snapToGrid w:val="0"/>
        <w:spacing w:before="120" w:beforeLines="50" w:line="360" w:lineRule="auto"/>
        <w:rPr>
          <w:rFonts w:ascii="宋体" w:hAnsi="宋体"/>
          <w:color w:val="auto"/>
          <w:szCs w:val="21"/>
          <w:highlight w:val="none"/>
        </w:rPr>
      </w:pPr>
      <w:bookmarkStart w:id="54" w:name="_Toc106890531"/>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rPr>
          <w:rFonts w:ascii="宋体" w:hAnsi="宋体"/>
          <w:color w:val="auto"/>
          <w:highlight w:val="none"/>
        </w:rPr>
      </w:pPr>
      <w:r>
        <w:rPr>
          <w:rFonts w:ascii="宋体" w:hAnsi="宋体"/>
          <w:color w:val="auto"/>
          <w:highlight w:val="none"/>
        </w:rPr>
        <w:br w:type="page"/>
      </w:r>
    </w:p>
    <w:p>
      <w:pPr>
        <w:pStyle w:val="3"/>
        <w:jc w:val="center"/>
        <w:rPr>
          <w:rFonts w:ascii="宋体" w:hAnsi="宋体"/>
          <w:color w:val="auto"/>
          <w:sz w:val="28"/>
          <w:szCs w:val="28"/>
          <w:highlight w:val="none"/>
        </w:rPr>
      </w:pPr>
      <w:r>
        <w:rPr>
          <w:rFonts w:hint="eastAsia" w:ascii="宋体" w:hAnsi="宋体"/>
          <w:color w:val="auto"/>
          <w:sz w:val="28"/>
          <w:szCs w:val="28"/>
          <w:highlight w:val="none"/>
        </w:rPr>
        <w:t>三、授权委托书</w:t>
      </w:r>
      <w:bookmarkEnd w:id="54"/>
    </w:p>
    <w:p>
      <w:pPr>
        <w:autoSpaceDE w:val="0"/>
        <w:autoSpaceDN w:val="0"/>
        <w:adjustRightInd w:val="0"/>
        <w:snapToGrid w:val="0"/>
        <w:spacing w:before="120" w:beforeLines="50" w:line="360" w:lineRule="auto"/>
        <w:ind w:firstLine="420" w:firstLineChars="200"/>
        <w:jc w:val="left"/>
        <w:rPr>
          <w:rFonts w:ascii="宋体" w:hAnsi="宋体" w:cs="宋体"/>
          <w:color w:val="auto"/>
          <w:kern w:val="0"/>
          <w:szCs w:val="21"/>
          <w:highlight w:val="none"/>
        </w:rPr>
      </w:pPr>
    </w:p>
    <w:p>
      <w:pPr>
        <w:autoSpaceDE w:val="0"/>
        <w:autoSpaceDN w:val="0"/>
        <w:adjustRightInd w:val="0"/>
        <w:snapToGrid w:val="0"/>
        <w:spacing w:before="120" w:beforeLines="5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（姓名、职务）系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r>
        <w:rPr>
          <w:rFonts w:hint="eastAsia" w:ascii="宋体" w:hAnsi="宋体"/>
          <w:color w:val="auto"/>
          <w:szCs w:val="21"/>
          <w:highlight w:val="none"/>
        </w:rPr>
        <w:t>供应商</w:t>
      </w:r>
      <w:r>
        <w:rPr>
          <w:rFonts w:hint="eastAsia" w:ascii="宋体" w:hAnsi="宋体" w:cs="宋体"/>
          <w:color w:val="auto"/>
          <w:kern w:val="0"/>
          <w:szCs w:val="21"/>
          <w:highlight w:val="none"/>
        </w:rPr>
        <w:t>名称）的法定代表人</w:t>
      </w:r>
      <w:r>
        <w:rPr>
          <w:rFonts w:hint="eastAsia" w:ascii="宋体" w:hAnsi="宋体" w:cs="微软雅黑"/>
          <w:color w:val="auto"/>
          <w:kern w:val="0"/>
          <w:szCs w:val="21"/>
          <w:highlight w:val="none"/>
        </w:rPr>
        <w:t>（</w:t>
      </w:r>
      <w:r>
        <w:rPr>
          <w:rFonts w:hint="eastAsia" w:ascii="宋体" w:hAnsi="宋体" w:cs="微软雅黑"/>
          <w:color w:val="auto"/>
          <w:spacing w:val="-2"/>
          <w:kern w:val="0"/>
          <w:szCs w:val="21"/>
          <w:highlight w:val="none"/>
        </w:rPr>
        <w:t>单</w:t>
      </w:r>
      <w:r>
        <w:rPr>
          <w:rFonts w:hint="eastAsia" w:ascii="宋体" w:hAnsi="宋体" w:cs="微软雅黑"/>
          <w:color w:val="auto"/>
          <w:kern w:val="0"/>
          <w:szCs w:val="21"/>
          <w:highlight w:val="none"/>
        </w:rPr>
        <w:t>位</w:t>
      </w:r>
      <w:r>
        <w:rPr>
          <w:rFonts w:hint="eastAsia" w:ascii="宋体" w:hAnsi="宋体" w:cs="微软雅黑"/>
          <w:color w:val="auto"/>
          <w:spacing w:val="-2"/>
          <w:kern w:val="0"/>
          <w:szCs w:val="21"/>
          <w:highlight w:val="none"/>
        </w:rPr>
        <w:t>负</w:t>
      </w:r>
      <w:r>
        <w:rPr>
          <w:rFonts w:hint="eastAsia" w:ascii="宋体" w:hAnsi="宋体" w:cs="微软雅黑"/>
          <w:color w:val="auto"/>
          <w:kern w:val="0"/>
          <w:szCs w:val="21"/>
          <w:highlight w:val="none"/>
        </w:rPr>
        <w:t>责人</w:t>
      </w:r>
      <w:r>
        <w:rPr>
          <w:rFonts w:hint="eastAsia" w:ascii="宋体" w:hAnsi="宋体" w:cs="微软雅黑"/>
          <w:color w:val="auto"/>
          <w:spacing w:val="-2"/>
          <w:kern w:val="0"/>
          <w:szCs w:val="21"/>
          <w:highlight w:val="none"/>
        </w:rPr>
        <w:t>）</w:t>
      </w:r>
      <w:r>
        <w:rPr>
          <w:rFonts w:hint="eastAsia" w:ascii="宋体" w:hAnsi="宋体" w:cs="宋体"/>
          <w:color w:val="auto"/>
          <w:kern w:val="0"/>
          <w:szCs w:val="21"/>
          <w:highlight w:val="none"/>
        </w:rPr>
        <w:t>，现授权</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（姓名、职务）为我方代理人。代理人根据授权，以我方名义：(1)签署、澄清、补正、修改、撤回、提交</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（项目名称）响应文件；(2)签署并重新提交响应文件及最后报价；(3)退出磋商（如可能）；(4)签订合同和处理有关事宜，其法律后果由我方承担。</w:t>
      </w:r>
    </w:p>
    <w:p>
      <w:pPr>
        <w:autoSpaceDE w:val="0"/>
        <w:autoSpaceDN w:val="0"/>
        <w:adjustRightInd w:val="0"/>
        <w:snapToGrid w:val="0"/>
        <w:spacing w:before="120" w:beforeLines="5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委托期限：</w:t>
      </w:r>
      <w:r>
        <w:rPr>
          <w:rFonts w:hint="eastAsia" w:ascii="宋体" w:hAnsi="宋体" w:cs="宋体"/>
          <w:color w:val="auto"/>
          <w:kern w:val="0"/>
          <w:szCs w:val="21"/>
          <w:highlight w:val="none"/>
          <w:u w:val="single"/>
        </w:rPr>
        <w:t xml:space="preserve"> 自本委托书签署之日起至投标有效期期满  </w:t>
      </w:r>
      <w:r>
        <w:rPr>
          <w:rFonts w:hint="eastAsia" w:ascii="宋体" w:hAnsi="宋体" w:cs="宋体"/>
          <w:color w:val="auto"/>
          <w:kern w:val="0"/>
          <w:szCs w:val="21"/>
          <w:highlight w:val="none"/>
        </w:rPr>
        <w:t xml:space="preserve"> 。</w:t>
      </w:r>
    </w:p>
    <w:p>
      <w:pPr>
        <w:adjustRightInd w:val="0"/>
        <w:snapToGrid w:val="0"/>
        <w:spacing w:before="120" w:beforeLines="50" w:line="360" w:lineRule="auto"/>
        <w:ind w:firstLine="435"/>
        <w:rPr>
          <w:rFonts w:ascii="宋体" w:hAnsi="宋体" w:cs="宋体"/>
          <w:color w:val="auto"/>
          <w:kern w:val="0"/>
          <w:szCs w:val="21"/>
          <w:highlight w:val="none"/>
        </w:rPr>
      </w:pPr>
      <w:r>
        <w:rPr>
          <w:rFonts w:hint="eastAsia" w:ascii="宋体" w:hAnsi="宋体" w:cs="宋体"/>
          <w:color w:val="auto"/>
          <w:kern w:val="0"/>
          <w:szCs w:val="21"/>
          <w:highlight w:val="none"/>
        </w:rPr>
        <w:t>代理人无转委托权。</w:t>
      </w:r>
    </w:p>
    <w:p>
      <w:pPr>
        <w:adjustRightInd w:val="0"/>
        <w:snapToGrid w:val="0"/>
        <w:spacing w:before="120" w:beforeLines="50" w:line="360" w:lineRule="auto"/>
        <w:ind w:firstLine="435"/>
        <w:rPr>
          <w:rFonts w:ascii="宋体" w:hAnsi="宋体" w:cs="宋体"/>
          <w:color w:val="auto"/>
          <w:kern w:val="0"/>
          <w:szCs w:val="21"/>
          <w:highlight w:val="none"/>
        </w:rPr>
      </w:pPr>
      <w:r>
        <w:rPr>
          <w:rFonts w:hint="eastAsia" w:ascii="宋体" w:hAnsi="宋体" w:cs="宋体"/>
          <w:color w:val="auto"/>
          <w:kern w:val="0"/>
          <w:szCs w:val="21"/>
          <w:highlight w:val="none"/>
        </w:rPr>
        <w:t>附：</w:t>
      </w:r>
      <w:r>
        <w:rPr>
          <w:rFonts w:hint="eastAsia" w:ascii="宋体" w:hAnsi="宋体"/>
          <w:color w:val="auto"/>
          <w:szCs w:val="21"/>
          <w:highlight w:val="none"/>
        </w:rPr>
        <w:t>授权的代理人</w:t>
      </w:r>
      <w:r>
        <w:rPr>
          <w:rFonts w:hint="eastAsia" w:ascii="宋体" w:hAnsi="宋体" w:cs="微软雅黑"/>
          <w:color w:val="auto"/>
          <w:kern w:val="0"/>
          <w:szCs w:val="21"/>
          <w:highlight w:val="none"/>
        </w:rPr>
        <w:t>身</w:t>
      </w:r>
      <w:r>
        <w:rPr>
          <w:rFonts w:hint="eastAsia" w:ascii="宋体" w:hAnsi="宋体" w:cs="微软雅黑"/>
          <w:color w:val="auto"/>
          <w:spacing w:val="-2"/>
          <w:kern w:val="0"/>
          <w:szCs w:val="21"/>
          <w:highlight w:val="none"/>
        </w:rPr>
        <w:t>份</w:t>
      </w:r>
      <w:r>
        <w:rPr>
          <w:rFonts w:hint="eastAsia" w:ascii="宋体" w:hAnsi="宋体" w:cs="微软雅黑"/>
          <w:color w:val="auto"/>
          <w:kern w:val="0"/>
          <w:szCs w:val="21"/>
          <w:highlight w:val="none"/>
        </w:rPr>
        <w:t>证</w:t>
      </w:r>
      <w:r>
        <w:rPr>
          <w:rFonts w:hint="eastAsia" w:ascii="宋体" w:hAnsi="宋体" w:cs="微软雅黑"/>
          <w:color w:val="auto"/>
          <w:spacing w:val="-2"/>
          <w:kern w:val="0"/>
          <w:szCs w:val="21"/>
          <w:highlight w:val="none"/>
        </w:rPr>
        <w:t>复</w:t>
      </w:r>
      <w:r>
        <w:rPr>
          <w:rFonts w:hint="eastAsia" w:ascii="宋体" w:hAnsi="宋体" w:cs="微软雅黑"/>
          <w:color w:val="auto"/>
          <w:kern w:val="0"/>
          <w:szCs w:val="21"/>
          <w:highlight w:val="none"/>
        </w:rPr>
        <w:t>印</w:t>
      </w:r>
      <w:r>
        <w:rPr>
          <w:rFonts w:hint="eastAsia" w:ascii="宋体" w:hAnsi="宋体" w:cs="微软雅黑"/>
          <w:color w:val="auto"/>
          <w:spacing w:val="-2"/>
          <w:kern w:val="0"/>
          <w:szCs w:val="21"/>
          <w:highlight w:val="none"/>
        </w:rPr>
        <w:t>件</w:t>
      </w:r>
      <w:r>
        <w:rPr>
          <w:rFonts w:hint="eastAsia" w:ascii="宋体" w:hAnsi="宋体" w:cs="微软雅黑"/>
          <w:color w:val="auto"/>
          <w:kern w:val="0"/>
          <w:szCs w:val="21"/>
          <w:highlight w:val="none"/>
        </w:rPr>
        <w:t>。</w:t>
      </w:r>
    </w:p>
    <w:tbl>
      <w:tblPr>
        <w:tblStyle w:val="37"/>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8"/>
        <w:gridCol w:w="3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shd w:val="clear" w:color="auto" w:fill="auto"/>
            <w:vAlign w:val="center"/>
          </w:tcPr>
          <w:p>
            <w:pPr>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身份证（正面）</w:t>
            </w:r>
            <w:r>
              <w:rPr>
                <w:rFonts w:hint="eastAsia" w:ascii="宋体" w:hAnsi="宋体" w:cs="微软雅黑"/>
                <w:color w:val="auto"/>
                <w:spacing w:val="-2"/>
                <w:kern w:val="0"/>
                <w:szCs w:val="21"/>
                <w:highlight w:val="none"/>
              </w:rPr>
              <w:t>复</w:t>
            </w:r>
            <w:r>
              <w:rPr>
                <w:rFonts w:hint="eastAsia" w:ascii="宋体" w:hAnsi="宋体" w:cs="微软雅黑"/>
                <w:color w:val="auto"/>
                <w:kern w:val="0"/>
                <w:szCs w:val="21"/>
                <w:highlight w:val="none"/>
              </w:rPr>
              <w:t>印</w:t>
            </w:r>
            <w:r>
              <w:rPr>
                <w:rFonts w:hint="eastAsia" w:ascii="宋体" w:hAnsi="宋体" w:cs="微软雅黑"/>
                <w:color w:val="auto"/>
                <w:spacing w:val="-2"/>
                <w:kern w:val="0"/>
                <w:szCs w:val="21"/>
                <w:highlight w:val="none"/>
              </w:rPr>
              <w:t>件</w:t>
            </w:r>
          </w:p>
        </w:tc>
        <w:tc>
          <w:tcPr>
            <w:tcW w:w="3899" w:type="dxa"/>
            <w:shd w:val="clear" w:color="auto" w:fill="auto"/>
            <w:vAlign w:val="center"/>
          </w:tcPr>
          <w:p>
            <w:pPr>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身份证（反面）</w:t>
            </w:r>
            <w:r>
              <w:rPr>
                <w:rFonts w:hint="eastAsia" w:ascii="宋体" w:hAnsi="宋体" w:cs="微软雅黑"/>
                <w:color w:val="auto"/>
                <w:spacing w:val="-2"/>
                <w:kern w:val="0"/>
                <w:szCs w:val="21"/>
                <w:highlight w:val="none"/>
              </w:rPr>
              <w:t>复</w:t>
            </w:r>
            <w:r>
              <w:rPr>
                <w:rFonts w:hint="eastAsia" w:ascii="宋体" w:hAnsi="宋体" w:cs="微软雅黑"/>
                <w:color w:val="auto"/>
                <w:kern w:val="0"/>
                <w:szCs w:val="21"/>
                <w:highlight w:val="none"/>
              </w:rPr>
              <w:t>印</w:t>
            </w:r>
            <w:r>
              <w:rPr>
                <w:rFonts w:hint="eastAsia" w:ascii="宋体" w:hAnsi="宋体" w:cs="微软雅黑"/>
                <w:color w:val="auto"/>
                <w:spacing w:val="-2"/>
                <w:kern w:val="0"/>
                <w:szCs w:val="21"/>
                <w:highlight w:val="none"/>
              </w:rPr>
              <w:t>件</w:t>
            </w:r>
          </w:p>
        </w:tc>
      </w:tr>
    </w:tbl>
    <w:p>
      <w:pPr>
        <w:adjustRightInd w:val="0"/>
        <w:snapToGrid w:val="0"/>
        <w:spacing w:before="120" w:beforeLines="50" w:line="360" w:lineRule="auto"/>
        <w:ind w:firstLine="420" w:firstLineChars="200"/>
        <w:rPr>
          <w:rFonts w:ascii="宋体" w:hAnsi="宋体"/>
          <w:color w:val="auto"/>
          <w:szCs w:val="21"/>
          <w:highlight w:val="none"/>
        </w:rPr>
      </w:pPr>
    </w:p>
    <w:p>
      <w:pPr>
        <w:adjustRightInd w:val="0"/>
        <w:snapToGrid w:val="0"/>
        <w:spacing w:before="120" w:beforeLines="50" w:line="360" w:lineRule="auto"/>
        <w:ind w:firstLine="420" w:firstLineChars="200"/>
        <w:rPr>
          <w:rFonts w:ascii="宋体" w:hAnsi="宋体"/>
          <w:color w:val="auto"/>
          <w:szCs w:val="21"/>
          <w:highlight w:val="none"/>
        </w:rPr>
      </w:pPr>
    </w:p>
    <w:p>
      <w:pPr>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注：供应商代表不是供应商的法定代表人（单位负责人）的提供。供应商为自然人的无需提供。</w:t>
      </w:r>
    </w:p>
    <w:p>
      <w:pPr>
        <w:adjustRightInd w:val="0"/>
        <w:snapToGrid w:val="0"/>
        <w:spacing w:before="120" w:beforeLines="50" w:line="360" w:lineRule="auto"/>
        <w:ind w:firstLine="420" w:firstLineChars="200"/>
        <w:rPr>
          <w:rFonts w:ascii="宋体" w:hAnsi="宋体"/>
          <w:color w:val="auto"/>
          <w:szCs w:val="21"/>
          <w:highlight w:val="none"/>
        </w:rPr>
      </w:pPr>
    </w:p>
    <w:p>
      <w:pPr>
        <w:adjustRightInd w:val="0"/>
        <w:snapToGrid w:val="0"/>
        <w:spacing w:before="120" w:beforeLines="50" w:line="360" w:lineRule="auto"/>
        <w:ind w:firstLine="420" w:firstLineChars="200"/>
        <w:rPr>
          <w:rFonts w:ascii="宋体" w:hAnsi="宋体"/>
          <w:color w:val="auto"/>
          <w:szCs w:val="21"/>
          <w:highlight w:val="none"/>
        </w:rPr>
      </w:pPr>
    </w:p>
    <w:p>
      <w:pPr>
        <w:adjustRightInd w:val="0"/>
        <w:snapToGrid w:val="0"/>
        <w:spacing w:before="120" w:beforeLines="50" w:line="360" w:lineRule="auto"/>
        <w:rPr>
          <w:rFonts w:ascii="宋体" w:hAnsi="宋体" w:cs="Courier New"/>
          <w:color w:val="auto"/>
          <w:szCs w:val="21"/>
          <w:highlight w:val="none"/>
        </w:rPr>
      </w:pPr>
      <w:r>
        <w:rPr>
          <w:rFonts w:hint="eastAsia" w:ascii="宋体" w:hAnsi="宋体" w:cs="Courier New"/>
          <w:color w:val="auto"/>
          <w:szCs w:val="21"/>
          <w:highlight w:val="none"/>
        </w:rPr>
        <w:t>供应商名称(盖单位公章)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pPr>
        <w:adjustRightInd w:val="0"/>
        <w:snapToGrid w:val="0"/>
        <w:spacing w:before="120" w:beforeLines="50" w:line="360" w:lineRule="auto"/>
        <w:rPr>
          <w:rFonts w:ascii="宋体" w:hAnsi="宋体"/>
          <w:color w:val="auto"/>
          <w:szCs w:val="21"/>
          <w:highlight w:val="none"/>
        </w:rPr>
      </w:pPr>
      <w:r>
        <w:rPr>
          <w:rFonts w:hint="eastAsia" w:ascii="宋体" w:hAnsi="宋体" w:cs="微软雅黑"/>
          <w:color w:val="auto"/>
          <w:spacing w:val="-2"/>
          <w:kern w:val="0"/>
          <w:szCs w:val="21"/>
          <w:highlight w:val="none"/>
        </w:rPr>
        <w:t>法</w:t>
      </w:r>
      <w:r>
        <w:rPr>
          <w:rFonts w:hint="eastAsia" w:ascii="宋体" w:hAnsi="宋体" w:cs="微软雅黑"/>
          <w:color w:val="auto"/>
          <w:kern w:val="0"/>
          <w:szCs w:val="21"/>
          <w:highlight w:val="none"/>
        </w:rPr>
        <w:t>定</w:t>
      </w:r>
      <w:r>
        <w:rPr>
          <w:rFonts w:hint="eastAsia" w:ascii="宋体" w:hAnsi="宋体" w:cs="微软雅黑"/>
          <w:color w:val="auto"/>
          <w:spacing w:val="-2"/>
          <w:kern w:val="0"/>
          <w:szCs w:val="21"/>
          <w:highlight w:val="none"/>
        </w:rPr>
        <w:t>代</w:t>
      </w:r>
      <w:r>
        <w:rPr>
          <w:rFonts w:hint="eastAsia" w:ascii="宋体" w:hAnsi="宋体" w:cs="微软雅黑"/>
          <w:color w:val="auto"/>
          <w:kern w:val="0"/>
          <w:szCs w:val="21"/>
          <w:highlight w:val="none"/>
        </w:rPr>
        <w:t>表</w:t>
      </w:r>
      <w:r>
        <w:rPr>
          <w:rFonts w:hint="eastAsia" w:ascii="宋体" w:hAnsi="宋体" w:cs="微软雅黑"/>
          <w:color w:val="auto"/>
          <w:spacing w:val="-2"/>
          <w:kern w:val="0"/>
          <w:szCs w:val="21"/>
          <w:highlight w:val="none"/>
        </w:rPr>
        <w:t>人</w:t>
      </w:r>
      <w:r>
        <w:rPr>
          <w:rFonts w:hint="eastAsia" w:ascii="宋体" w:hAnsi="宋体" w:cs="微软雅黑"/>
          <w:color w:val="auto"/>
          <w:kern w:val="0"/>
          <w:szCs w:val="21"/>
          <w:highlight w:val="none"/>
        </w:rPr>
        <w:t>（</w:t>
      </w:r>
      <w:r>
        <w:rPr>
          <w:rFonts w:hint="eastAsia" w:ascii="宋体" w:hAnsi="宋体" w:cs="微软雅黑"/>
          <w:color w:val="auto"/>
          <w:spacing w:val="-2"/>
          <w:kern w:val="0"/>
          <w:szCs w:val="21"/>
          <w:highlight w:val="none"/>
        </w:rPr>
        <w:t>单</w:t>
      </w:r>
      <w:r>
        <w:rPr>
          <w:rFonts w:hint="eastAsia" w:ascii="宋体" w:hAnsi="宋体" w:cs="微软雅黑"/>
          <w:color w:val="auto"/>
          <w:kern w:val="0"/>
          <w:szCs w:val="21"/>
          <w:highlight w:val="none"/>
        </w:rPr>
        <w:t>位</w:t>
      </w:r>
      <w:r>
        <w:rPr>
          <w:rFonts w:hint="eastAsia" w:ascii="宋体" w:hAnsi="宋体" w:cs="微软雅黑"/>
          <w:color w:val="auto"/>
          <w:spacing w:val="-2"/>
          <w:kern w:val="0"/>
          <w:szCs w:val="21"/>
          <w:highlight w:val="none"/>
        </w:rPr>
        <w:t>负</w:t>
      </w:r>
      <w:r>
        <w:rPr>
          <w:rFonts w:hint="eastAsia" w:ascii="宋体" w:hAnsi="宋体" w:cs="微软雅黑"/>
          <w:color w:val="auto"/>
          <w:kern w:val="0"/>
          <w:szCs w:val="21"/>
          <w:highlight w:val="none"/>
        </w:rPr>
        <w:t>责人</w:t>
      </w:r>
      <w:r>
        <w:rPr>
          <w:rFonts w:hint="eastAsia" w:ascii="宋体" w:hAnsi="宋体" w:cs="微软雅黑"/>
          <w:color w:val="auto"/>
          <w:spacing w:val="-2"/>
          <w:kern w:val="0"/>
          <w:szCs w:val="21"/>
          <w:highlight w:val="none"/>
        </w:rPr>
        <w:t>）</w:t>
      </w:r>
      <w:r>
        <w:rPr>
          <w:rFonts w:hint="eastAsia" w:ascii="宋体" w:hAnsi="宋体"/>
          <w:color w:val="auto"/>
          <w:szCs w:val="21"/>
          <w:highlight w:val="none"/>
        </w:rPr>
        <w:t>（签字或印章）：</w:t>
      </w:r>
      <w:r>
        <w:rPr>
          <w:rFonts w:hint="eastAsia" w:ascii="宋体" w:hAnsi="宋体"/>
          <w:color w:val="auto"/>
          <w:szCs w:val="21"/>
          <w:highlight w:val="none"/>
          <w:u w:val="single"/>
        </w:rPr>
        <w:t xml:space="preserve">               </w:t>
      </w:r>
    </w:p>
    <w:p>
      <w:pPr>
        <w:adjustRightInd w:val="0"/>
        <w:snapToGrid w:val="0"/>
        <w:spacing w:before="120" w:beforeLines="50" w:line="360" w:lineRule="auto"/>
        <w:rPr>
          <w:rFonts w:ascii="宋体" w:hAnsi="宋体"/>
          <w:color w:val="auto"/>
          <w:szCs w:val="21"/>
          <w:highlight w:val="none"/>
          <w:u w:val="single"/>
        </w:rPr>
      </w:pPr>
      <w:r>
        <w:rPr>
          <w:rFonts w:hint="eastAsia" w:ascii="宋体" w:hAnsi="宋体"/>
          <w:color w:val="auto"/>
          <w:szCs w:val="21"/>
          <w:highlight w:val="none"/>
        </w:rPr>
        <w:t>授权的代理人（签字或印章）：</w:t>
      </w:r>
      <w:r>
        <w:rPr>
          <w:rFonts w:hint="eastAsia" w:ascii="宋体" w:hAnsi="宋体"/>
          <w:color w:val="auto"/>
          <w:szCs w:val="21"/>
          <w:highlight w:val="none"/>
          <w:u w:val="single"/>
        </w:rPr>
        <w:t xml:space="preserve">               </w:t>
      </w:r>
    </w:p>
    <w:p>
      <w:pPr>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rPr>
          <w:rFonts w:ascii="宋体" w:hAnsi="宋体"/>
          <w:color w:val="auto"/>
          <w:highlight w:val="none"/>
        </w:rPr>
      </w:pPr>
      <w:bookmarkStart w:id="55" w:name="_Toc106890533"/>
      <w:r>
        <w:rPr>
          <w:rFonts w:ascii="宋体" w:hAnsi="宋体"/>
          <w:color w:val="auto"/>
          <w:highlight w:val="none"/>
        </w:rPr>
        <w:br w:type="page"/>
      </w:r>
    </w:p>
    <w:p>
      <w:pPr>
        <w:pStyle w:val="3"/>
        <w:jc w:val="center"/>
        <w:rPr>
          <w:rFonts w:ascii="宋体" w:hAnsi="宋体"/>
          <w:color w:val="auto"/>
          <w:sz w:val="28"/>
          <w:szCs w:val="28"/>
          <w:highlight w:val="none"/>
        </w:rPr>
      </w:pPr>
      <w:r>
        <w:rPr>
          <w:rFonts w:hint="eastAsia" w:ascii="宋体" w:hAnsi="宋体"/>
          <w:color w:val="auto"/>
          <w:sz w:val="28"/>
          <w:szCs w:val="28"/>
          <w:highlight w:val="none"/>
        </w:rPr>
        <w:t>四、报价表及报价文件</w:t>
      </w:r>
      <w:bookmarkEnd w:id="55"/>
    </w:p>
    <w:p>
      <w:pPr>
        <w:pStyle w:val="4"/>
        <w:rPr>
          <w:rFonts w:ascii="宋体" w:hAnsi="宋体"/>
          <w:color w:val="auto"/>
          <w:sz w:val="21"/>
          <w:szCs w:val="21"/>
          <w:highlight w:val="none"/>
        </w:rPr>
      </w:pPr>
      <w:bookmarkStart w:id="56" w:name="_Toc106890534"/>
      <w:r>
        <w:rPr>
          <w:rFonts w:hint="eastAsia" w:ascii="宋体" w:hAnsi="宋体"/>
          <w:color w:val="auto"/>
          <w:sz w:val="21"/>
          <w:szCs w:val="21"/>
          <w:highlight w:val="none"/>
        </w:rPr>
        <w:t>附件</w:t>
      </w:r>
      <w:r>
        <w:rPr>
          <w:rFonts w:ascii="宋体" w:hAnsi="宋体"/>
          <w:color w:val="auto"/>
          <w:sz w:val="21"/>
          <w:szCs w:val="21"/>
          <w:highlight w:val="none"/>
        </w:rPr>
        <w:t>4</w:t>
      </w:r>
      <w:r>
        <w:rPr>
          <w:rFonts w:hint="eastAsia" w:ascii="宋体" w:hAnsi="宋体"/>
          <w:color w:val="auto"/>
          <w:sz w:val="21"/>
          <w:szCs w:val="21"/>
          <w:highlight w:val="none"/>
        </w:rPr>
        <w:t>-1 报价表</w:t>
      </w:r>
      <w:bookmarkEnd w:id="56"/>
    </w:p>
    <w:p>
      <w:pPr>
        <w:jc w:val="center"/>
        <w:rPr>
          <w:rFonts w:ascii="宋体" w:hAnsi="宋体"/>
          <w:b/>
          <w:color w:val="auto"/>
          <w:sz w:val="28"/>
          <w:szCs w:val="28"/>
          <w:highlight w:val="none"/>
        </w:rPr>
      </w:pPr>
      <w:r>
        <w:rPr>
          <w:rFonts w:hint="eastAsia" w:ascii="宋体" w:hAnsi="宋体"/>
          <w:b/>
          <w:color w:val="auto"/>
          <w:sz w:val="28"/>
          <w:szCs w:val="28"/>
          <w:highlight w:val="none"/>
        </w:rPr>
        <w:t>报价表</w:t>
      </w:r>
    </w:p>
    <w:p>
      <w:pPr>
        <w:adjustRightInd w:val="0"/>
        <w:snapToGrid w:val="0"/>
        <w:spacing w:line="360" w:lineRule="auto"/>
        <w:ind w:left="-88" w:leftChars="-42"/>
        <w:jc w:val="center"/>
        <w:rPr>
          <w:rFonts w:ascii="宋体" w:hAnsi="宋体"/>
          <w:color w:val="auto"/>
          <w:sz w:val="24"/>
          <w:highlight w:val="none"/>
        </w:rPr>
      </w:pPr>
    </w:p>
    <w:p>
      <w:pPr>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p>
    <w:tbl>
      <w:tblPr>
        <w:tblStyle w:val="37"/>
        <w:tblW w:w="878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42"/>
        <w:gridCol w:w="174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trPr>
        <w:tc>
          <w:tcPr>
            <w:tcW w:w="7042" w:type="dxa"/>
            <w:shd w:val="clear" w:color="auto" w:fill="auto"/>
            <w:vAlign w:val="center"/>
          </w:tcPr>
          <w:p>
            <w:pPr>
              <w:adjustRightInd w:val="0"/>
              <w:snapToGrid w:val="0"/>
              <w:spacing w:before="120" w:beforeLines="50" w:line="360" w:lineRule="auto"/>
              <w:jc w:val="center"/>
              <w:rPr>
                <w:rFonts w:ascii="宋体" w:hAnsi="宋体"/>
                <w:b/>
                <w:color w:val="auto"/>
                <w:kern w:val="0"/>
                <w:sz w:val="20"/>
                <w:szCs w:val="21"/>
                <w:highlight w:val="none"/>
              </w:rPr>
            </w:pPr>
            <w:r>
              <w:rPr>
                <w:rFonts w:hint="eastAsia" w:ascii="宋体" w:hAnsi="宋体"/>
                <w:b/>
                <w:color w:val="auto"/>
                <w:kern w:val="0"/>
                <w:szCs w:val="21"/>
                <w:highlight w:val="none"/>
              </w:rPr>
              <w:t>报价</w:t>
            </w:r>
          </w:p>
        </w:tc>
        <w:tc>
          <w:tcPr>
            <w:tcW w:w="1747" w:type="dxa"/>
            <w:shd w:val="clear" w:color="auto" w:fill="auto"/>
            <w:vAlign w:val="center"/>
          </w:tcPr>
          <w:p>
            <w:pPr>
              <w:adjustRightInd w:val="0"/>
              <w:snapToGrid w:val="0"/>
              <w:spacing w:before="120" w:beforeLines="50" w:line="360" w:lineRule="auto"/>
              <w:jc w:val="center"/>
              <w:rPr>
                <w:rFonts w:ascii="宋体" w:hAnsi="宋体"/>
                <w:b/>
                <w:color w:val="auto"/>
                <w:kern w:val="0"/>
                <w:szCs w:val="21"/>
                <w:highlight w:val="none"/>
              </w:rPr>
            </w:pPr>
            <w:r>
              <w:rPr>
                <w:rFonts w:hint="eastAsia" w:ascii="宋体" w:hAnsi="宋体"/>
                <w:b/>
                <w:color w:val="auto"/>
                <w:kern w:val="0"/>
                <w:szCs w:val="21"/>
                <w:highlight w:val="none"/>
              </w:rPr>
              <w:t>其他内容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trPr>
        <w:tc>
          <w:tcPr>
            <w:tcW w:w="7042" w:type="dxa"/>
            <w:shd w:val="clear" w:color="auto" w:fill="auto"/>
            <w:vAlign w:val="center"/>
          </w:tcPr>
          <w:p>
            <w:pPr>
              <w:adjustRightInd w:val="0"/>
              <w:snapToGrid w:val="0"/>
              <w:spacing w:before="120" w:beforeLines="50" w:line="360" w:lineRule="auto"/>
              <w:jc w:val="center"/>
              <w:rPr>
                <w:rFonts w:ascii="宋体" w:hAnsi="宋体"/>
                <w:color w:val="auto"/>
                <w:kern w:val="0"/>
                <w:szCs w:val="21"/>
                <w:highlight w:val="none"/>
              </w:rPr>
            </w:pPr>
            <w:r>
              <w:rPr>
                <w:rFonts w:hint="eastAsia" w:ascii="宋体" w:hAnsi="宋体"/>
                <w:color w:val="auto"/>
                <w:kern w:val="0"/>
                <w:szCs w:val="21"/>
                <w:highlight w:val="none"/>
              </w:rPr>
              <w:t>小写金额：</w:t>
            </w:r>
            <w:r>
              <w:rPr>
                <w:rFonts w:hint="eastAsia" w:ascii="宋体" w:hAnsi="宋体"/>
                <w:color w:val="auto"/>
                <w:szCs w:val="21"/>
                <w:highlight w:val="none"/>
                <w:u w:val="single"/>
              </w:rPr>
              <w:t xml:space="preserve">            </w:t>
            </w:r>
            <w:r>
              <w:rPr>
                <w:rFonts w:hint="eastAsia" w:ascii="宋体" w:hAnsi="宋体"/>
                <w:color w:val="auto"/>
                <w:kern w:val="0"/>
                <w:szCs w:val="21"/>
                <w:highlight w:val="none"/>
              </w:rPr>
              <w:t>（</w:t>
            </w:r>
            <w:r>
              <w:rPr>
                <w:rFonts w:hint="eastAsia" w:ascii="宋体" w:hAnsi="宋体"/>
                <w:color w:val="auto"/>
                <w:kern w:val="0"/>
                <w:sz w:val="20"/>
                <w:szCs w:val="21"/>
                <w:highlight w:val="none"/>
              </w:rPr>
              <w:t>人民币元</w:t>
            </w:r>
            <w:r>
              <w:rPr>
                <w:rFonts w:hint="eastAsia" w:ascii="宋体" w:hAnsi="宋体"/>
                <w:color w:val="auto"/>
                <w:kern w:val="0"/>
                <w:szCs w:val="21"/>
                <w:highlight w:val="none"/>
              </w:rPr>
              <w:t>）</w:t>
            </w:r>
          </w:p>
          <w:p>
            <w:pPr>
              <w:adjustRightInd w:val="0"/>
              <w:snapToGrid w:val="0"/>
              <w:spacing w:before="120" w:beforeLines="50" w:line="360" w:lineRule="auto"/>
              <w:jc w:val="center"/>
              <w:rPr>
                <w:rFonts w:ascii="宋体" w:hAnsi="宋体"/>
                <w:color w:val="auto"/>
                <w:kern w:val="0"/>
                <w:szCs w:val="21"/>
                <w:highlight w:val="none"/>
                <w:u w:val="single"/>
              </w:rPr>
            </w:pPr>
            <w:r>
              <w:rPr>
                <w:rFonts w:hint="eastAsia" w:ascii="宋体" w:hAnsi="宋体"/>
                <w:color w:val="auto"/>
                <w:kern w:val="0"/>
                <w:szCs w:val="21"/>
                <w:highlight w:val="none"/>
              </w:rPr>
              <w:t>大写金额：</w:t>
            </w:r>
            <w:r>
              <w:rPr>
                <w:rFonts w:hint="eastAsia" w:ascii="宋体" w:hAnsi="宋体"/>
                <w:color w:val="auto"/>
                <w:szCs w:val="21"/>
                <w:highlight w:val="none"/>
                <w:u w:val="single"/>
              </w:rPr>
              <w:t xml:space="preserve">            </w:t>
            </w:r>
            <w:r>
              <w:rPr>
                <w:rFonts w:hint="eastAsia" w:ascii="宋体" w:hAnsi="宋体"/>
                <w:color w:val="auto"/>
                <w:kern w:val="0"/>
                <w:szCs w:val="21"/>
                <w:highlight w:val="none"/>
              </w:rPr>
              <w:t>（</w:t>
            </w:r>
            <w:r>
              <w:rPr>
                <w:rFonts w:hint="eastAsia" w:ascii="宋体" w:hAnsi="宋体"/>
                <w:color w:val="auto"/>
                <w:kern w:val="0"/>
                <w:sz w:val="20"/>
                <w:szCs w:val="21"/>
                <w:highlight w:val="none"/>
              </w:rPr>
              <w:t>人民币元</w:t>
            </w:r>
            <w:r>
              <w:rPr>
                <w:rFonts w:hint="eastAsia" w:ascii="宋体" w:hAnsi="宋体"/>
                <w:color w:val="auto"/>
                <w:kern w:val="0"/>
                <w:szCs w:val="21"/>
                <w:highlight w:val="none"/>
              </w:rPr>
              <w:t>）</w:t>
            </w:r>
          </w:p>
          <w:p>
            <w:pPr>
              <w:adjustRightInd w:val="0"/>
              <w:snapToGrid w:val="0"/>
              <w:spacing w:before="120" w:beforeLines="50" w:line="360" w:lineRule="auto"/>
              <w:jc w:val="center"/>
              <w:rPr>
                <w:rFonts w:ascii="宋体" w:hAnsi="宋体"/>
                <w:color w:val="auto"/>
                <w:kern w:val="0"/>
                <w:sz w:val="20"/>
                <w:szCs w:val="21"/>
                <w:highlight w:val="none"/>
              </w:rPr>
            </w:pPr>
            <w:r>
              <w:rPr>
                <w:rFonts w:hint="eastAsia" w:ascii="宋体" w:hAnsi="宋体"/>
                <w:color w:val="auto"/>
                <w:kern w:val="0"/>
                <w:szCs w:val="21"/>
                <w:highlight w:val="none"/>
              </w:rPr>
              <w:t>（</w:t>
            </w:r>
            <w:r>
              <w:rPr>
                <w:rFonts w:hint="eastAsia" w:ascii="黑体" w:hAnsi="黑体" w:eastAsia="黑体"/>
                <w:color w:val="auto"/>
                <w:kern w:val="0"/>
                <w:sz w:val="24"/>
                <w:highlight w:val="none"/>
              </w:rPr>
              <w:t>大写金额与小写金额不一致时，以大写金额为准</w:t>
            </w:r>
            <w:r>
              <w:rPr>
                <w:rFonts w:hint="eastAsia" w:ascii="宋体" w:hAnsi="宋体"/>
                <w:color w:val="auto"/>
                <w:kern w:val="0"/>
                <w:szCs w:val="21"/>
                <w:highlight w:val="none"/>
              </w:rPr>
              <w:t>）</w:t>
            </w:r>
          </w:p>
        </w:tc>
        <w:tc>
          <w:tcPr>
            <w:tcW w:w="1747" w:type="dxa"/>
            <w:shd w:val="clear" w:color="auto" w:fill="auto"/>
            <w:vAlign w:val="center"/>
          </w:tcPr>
          <w:p>
            <w:pPr>
              <w:adjustRightInd w:val="0"/>
              <w:snapToGrid w:val="0"/>
              <w:spacing w:before="120" w:beforeLines="50" w:line="360" w:lineRule="auto"/>
              <w:jc w:val="center"/>
              <w:rPr>
                <w:rFonts w:ascii="宋体" w:hAnsi="宋体"/>
                <w:color w:val="auto"/>
                <w:kern w:val="0"/>
                <w:szCs w:val="21"/>
                <w:highlight w:val="none"/>
              </w:rPr>
            </w:pPr>
          </w:p>
        </w:tc>
      </w:tr>
    </w:tbl>
    <w:p>
      <w:pPr>
        <w:adjustRightInd w:val="0"/>
        <w:snapToGrid w:val="0"/>
        <w:spacing w:before="120" w:beforeLines="50" w:line="360" w:lineRule="auto"/>
        <w:rPr>
          <w:rFonts w:ascii="宋体" w:hAnsi="宋体"/>
          <w:color w:val="auto"/>
          <w:szCs w:val="21"/>
          <w:highlight w:val="none"/>
        </w:rPr>
      </w:pPr>
    </w:p>
    <w:p>
      <w:pPr>
        <w:adjustRightInd w:val="0"/>
        <w:snapToGrid w:val="0"/>
        <w:spacing w:before="120" w:beforeLines="50" w:line="360" w:lineRule="auto"/>
        <w:rPr>
          <w:rFonts w:ascii="宋体" w:hAnsi="宋体" w:cs="Courier New"/>
          <w:color w:val="auto"/>
          <w:szCs w:val="21"/>
          <w:highlight w:val="none"/>
        </w:rPr>
      </w:pPr>
      <w:bookmarkStart w:id="57" w:name="_Toc106890535"/>
    </w:p>
    <w:p>
      <w:pPr>
        <w:adjustRightInd w:val="0"/>
        <w:snapToGrid w:val="0"/>
        <w:spacing w:before="120" w:beforeLines="50" w:line="360" w:lineRule="auto"/>
        <w:rPr>
          <w:rFonts w:ascii="宋体" w:hAnsi="宋体" w:cs="Courier New"/>
          <w:color w:val="auto"/>
          <w:szCs w:val="21"/>
          <w:highlight w:val="none"/>
        </w:rPr>
      </w:pPr>
      <w:r>
        <w:rPr>
          <w:rFonts w:hint="eastAsia" w:ascii="宋体" w:hAnsi="宋体" w:cs="Courier New"/>
          <w:color w:val="auto"/>
          <w:szCs w:val="21"/>
          <w:highlight w:val="none"/>
        </w:rPr>
        <w:t>供应商名称(盖单位公章)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pPr>
        <w:adjustRightInd w:val="0"/>
        <w:snapToGrid w:val="0"/>
        <w:spacing w:before="120" w:beforeLines="50" w:line="360" w:lineRule="auto"/>
        <w:rPr>
          <w:rFonts w:ascii="宋体" w:hAnsi="宋体"/>
          <w:color w:val="auto"/>
          <w:szCs w:val="21"/>
          <w:highlight w:val="none"/>
          <w:u w:val="single"/>
        </w:rPr>
      </w:pPr>
      <w:r>
        <w:rPr>
          <w:rFonts w:hint="eastAsia" w:ascii="宋体" w:hAnsi="宋体" w:cs="微软雅黑"/>
          <w:color w:val="auto"/>
          <w:spacing w:val="-2"/>
          <w:kern w:val="0"/>
          <w:szCs w:val="21"/>
          <w:highlight w:val="none"/>
        </w:rPr>
        <w:t>法</w:t>
      </w:r>
      <w:r>
        <w:rPr>
          <w:rFonts w:hint="eastAsia" w:ascii="宋体" w:hAnsi="宋体" w:cs="微软雅黑"/>
          <w:color w:val="auto"/>
          <w:kern w:val="0"/>
          <w:szCs w:val="21"/>
          <w:highlight w:val="none"/>
        </w:rPr>
        <w:t>定</w:t>
      </w:r>
      <w:r>
        <w:rPr>
          <w:rFonts w:hint="eastAsia" w:ascii="宋体" w:hAnsi="宋体" w:cs="微软雅黑"/>
          <w:color w:val="auto"/>
          <w:spacing w:val="-2"/>
          <w:kern w:val="0"/>
          <w:szCs w:val="21"/>
          <w:highlight w:val="none"/>
        </w:rPr>
        <w:t>代</w:t>
      </w:r>
      <w:r>
        <w:rPr>
          <w:rFonts w:hint="eastAsia" w:ascii="宋体" w:hAnsi="宋体" w:cs="微软雅黑"/>
          <w:color w:val="auto"/>
          <w:kern w:val="0"/>
          <w:szCs w:val="21"/>
          <w:highlight w:val="none"/>
        </w:rPr>
        <w:t>表</w:t>
      </w:r>
      <w:r>
        <w:rPr>
          <w:rFonts w:hint="eastAsia" w:ascii="宋体" w:hAnsi="宋体" w:cs="微软雅黑"/>
          <w:color w:val="auto"/>
          <w:spacing w:val="-2"/>
          <w:kern w:val="0"/>
          <w:szCs w:val="21"/>
          <w:highlight w:val="none"/>
        </w:rPr>
        <w:t>人</w:t>
      </w:r>
      <w:r>
        <w:rPr>
          <w:rFonts w:hint="eastAsia" w:ascii="宋体" w:hAnsi="宋体" w:cs="微软雅黑"/>
          <w:color w:val="auto"/>
          <w:kern w:val="0"/>
          <w:szCs w:val="21"/>
          <w:highlight w:val="none"/>
        </w:rPr>
        <w:t>（</w:t>
      </w:r>
      <w:r>
        <w:rPr>
          <w:rFonts w:hint="eastAsia" w:ascii="宋体" w:hAnsi="宋体" w:cs="微软雅黑"/>
          <w:color w:val="auto"/>
          <w:spacing w:val="-2"/>
          <w:kern w:val="0"/>
          <w:szCs w:val="21"/>
          <w:highlight w:val="none"/>
        </w:rPr>
        <w:t>单</w:t>
      </w:r>
      <w:r>
        <w:rPr>
          <w:rFonts w:hint="eastAsia" w:ascii="宋体" w:hAnsi="宋体" w:cs="微软雅黑"/>
          <w:color w:val="auto"/>
          <w:kern w:val="0"/>
          <w:szCs w:val="21"/>
          <w:highlight w:val="none"/>
        </w:rPr>
        <w:t>位</w:t>
      </w:r>
      <w:r>
        <w:rPr>
          <w:rFonts w:hint="eastAsia" w:ascii="宋体" w:hAnsi="宋体" w:cs="微软雅黑"/>
          <w:color w:val="auto"/>
          <w:spacing w:val="-2"/>
          <w:kern w:val="0"/>
          <w:szCs w:val="21"/>
          <w:highlight w:val="none"/>
        </w:rPr>
        <w:t>负</w:t>
      </w:r>
      <w:r>
        <w:rPr>
          <w:rFonts w:hint="eastAsia" w:ascii="宋体" w:hAnsi="宋体" w:cs="微软雅黑"/>
          <w:color w:val="auto"/>
          <w:kern w:val="0"/>
          <w:szCs w:val="21"/>
          <w:highlight w:val="none"/>
        </w:rPr>
        <w:t>责人</w:t>
      </w:r>
      <w:r>
        <w:rPr>
          <w:rFonts w:hint="eastAsia" w:ascii="宋体" w:hAnsi="宋体" w:cs="微软雅黑"/>
          <w:color w:val="auto"/>
          <w:spacing w:val="-2"/>
          <w:kern w:val="0"/>
          <w:szCs w:val="21"/>
          <w:highlight w:val="none"/>
        </w:rPr>
        <w:t>）</w:t>
      </w:r>
      <w:r>
        <w:rPr>
          <w:rFonts w:hint="eastAsia" w:ascii="宋体" w:hAnsi="宋体"/>
          <w:color w:val="auto"/>
          <w:szCs w:val="21"/>
          <w:highlight w:val="none"/>
        </w:rPr>
        <w:t>或其授权的代理人（签字或印章）：</w:t>
      </w:r>
      <w:r>
        <w:rPr>
          <w:rFonts w:hint="eastAsia" w:ascii="宋体" w:hAnsi="宋体"/>
          <w:color w:val="auto"/>
          <w:szCs w:val="21"/>
          <w:highlight w:val="none"/>
          <w:u w:val="single"/>
        </w:rPr>
        <w:t xml:space="preserve">               </w:t>
      </w:r>
    </w:p>
    <w:p>
      <w:pPr>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rPr>
          <w:rFonts w:ascii="宋体" w:hAnsi="宋体"/>
          <w:color w:val="auto"/>
          <w:sz w:val="30"/>
          <w:szCs w:val="30"/>
          <w:highlight w:val="none"/>
        </w:rPr>
      </w:pPr>
      <w:r>
        <w:rPr>
          <w:rFonts w:ascii="宋体" w:hAnsi="宋体"/>
          <w:color w:val="auto"/>
          <w:sz w:val="30"/>
          <w:szCs w:val="30"/>
          <w:highlight w:val="none"/>
        </w:rPr>
        <w:br w:type="page"/>
      </w:r>
    </w:p>
    <w:bookmarkEnd w:id="57"/>
    <w:p>
      <w:pPr>
        <w:pStyle w:val="4"/>
        <w:adjustRightInd w:val="0"/>
        <w:snapToGrid w:val="0"/>
        <w:spacing w:before="120" w:beforeLines="50" w:after="0" w:line="360" w:lineRule="auto"/>
        <w:rPr>
          <w:rFonts w:ascii="宋体" w:hAnsi="宋体"/>
          <w:color w:val="auto"/>
          <w:sz w:val="21"/>
          <w:szCs w:val="21"/>
          <w:highlight w:val="none"/>
        </w:rPr>
      </w:pPr>
      <w:bookmarkStart w:id="58" w:name="_Toc106890536"/>
      <w:r>
        <w:rPr>
          <w:rFonts w:hint="eastAsia" w:ascii="宋体" w:hAnsi="宋体" w:cs="宋体"/>
          <w:color w:val="auto"/>
          <w:sz w:val="21"/>
          <w:szCs w:val="21"/>
          <w:highlight w:val="none"/>
        </w:rPr>
        <w:t>附件</w:t>
      </w:r>
      <w:r>
        <w:rPr>
          <w:rFonts w:ascii="宋体" w:hAnsi="宋体" w:cs="宋体"/>
          <w:color w:val="auto"/>
          <w:sz w:val="21"/>
          <w:szCs w:val="21"/>
          <w:highlight w:val="none"/>
        </w:rPr>
        <w:t>4</w:t>
      </w:r>
      <w:r>
        <w:rPr>
          <w:rFonts w:hint="eastAsia" w:ascii="宋体" w:hAnsi="宋体" w:cs="宋体"/>
          <w:color w:val="auto"/>
          <w:sz w:val="21"/>
          <w:szCs w:val="21"/>
          <w:highlight w:val="none"/>
        </w:rPr>
        <w:t>-2</w:t>
      </w:r>
      <w:r>
        <w:rPr>
          <w:rFonts w:hint="eastAsia" w:ascii="宋体" w:hAnsi="宋体"/>
          <w:color w:val="auto"/>
          <w:spacing w:val="-2"/>
          <w:position w:val="-3"/>
          <w:sz w:val="21"/>
          <w:szCs w:val="21"/>
          <w:highlight w:val="none"/>
        </w:rPr>
        <w:t>分</w:t>
      </w:r>
      <w:r>
        <w:rPr>
          <w:rFonts w:hint="eastAsia" w:ascii="宋体" w:hAnsi="宋体"/>
          <w:color w:val="auto"/>
          <w:position w:val="-3"/>
          <w:sz w:val="21"/>
          <w:szCs w:val="21"/>
          <w:highlight w:val="none"/>
        </w:rPr>
        <w:t>项</w:t>
      </w:r>
      <w:r>
        <w:rPr>
          <w:rFonts w:hint="eastAsia" w:ascii="宋体" w:hAnsi="宋体"/>
          <w:color w:val="auto"/>
          <w:spacing w:val="-2"/>
          <w:position w:val="-3"/>
          <w:sz w:val="21"/>
          <w:szCs w:val="21"/>
          <w:highlight w:val="none"/>
        </w:rPr>
        <w:t>报</w:t>
      </w:r>
      <w:r>
        <w:rPr>
          <w:rFonts w:hint="eastAsia" w:ascii="宋体" w:hAnsi="宋体"/>
          <w:color w:val="auto"/>
          <w:position w:val="-3"/>
          <w:sz w:val="21"/>
          <w:szCs w:val="21"/>
          <w:highlight w:val="none"/>
        </w:rPr>
        <w:t>价明细表</w:t>
      </w:r>
      <w:bookmarkEnd w:id="58"/>
    </w:p>
    <w:p>
      <w:pPr>
        <w:adjustRightInd w:val="0"/>
        <w:snapToGrid w:val="0"/>
        <w:spacing w:before="120" w:beforeLines="50" w:line="360" w:lineRule="auto"/>
        <w:jc w:val="center"/>
        <w:rPr>
          <w:rFonts w:ascii="宋体" w:hAnsi="宋体" w:cs="微软雅黑"/>
          <w:b/>
          <w:color w:val="auto"/>
          <w:kern w:val="0"/>
          <w:position w:val="-3"/>
          <w:sz w:val="28"/>
          <w:szCs w:val="28"/>
          <w:highlight w:val="none"/>
        </w:rPr>
      </w:pPr>
      <w:r>
        <w:rPr>
          <w:rFonts w:hint="eastAsia" w:ascii="宋体" w:hAnsi="宋体" w:cs="微软雅黑"/>
          <w:b/>
          <w:color w:val="auto"/>
          <w:spacing w:val="-2"/>
          <w:kern w:val="0"/>
          <w:position w:val="-3"/>
          <w:sz w:val="28"/>
          <w:szCs w:val="28"/>
          <w:highlight w:val="none"/>
        </w:rPr>
        <w:t>分</w:t>
      </w:r>
      <w:r>
        <w:rPr>
          <w:rFonts w:hint="eastAsia" w:ascii="宋体" w:hAnsi="宋体" w:cs="微软雅黑"/>
          <w:b/>
          <w:color w:val="auto"/>
          <w:kern w:val="0"/>
          <w:position w:val="-3"/>
          <w:sz w:val="28"/>
          <w:szCs w:val="28"/>
          <w:highlight w:val="none"/>
        </w:rPr>
        <w:t>项</w:t>
      </w:r>
      <w:r>
        <w:rPr>
          <w:rFonts w:hint="eastAsia" w:ascii="宋体" w:hAnsi="宋体" w:cs="微软雅黑"/>
          <w:b/>
          <w:color w:val="auto"/>
          <w:spacing w:val="-2"/>
          <w:kern w:val="0"/>
          <w:position w:val="-3"/>
          <w:sz w:val="28"/>
          <w:szCs w:val="28"/>
          <w:highlight w:val="none"/>
        </w:rPr>
        <w:t>报</w:t>
      </w:r>
      <w:r>
        <w:rPr>
          <w:rFonts w:hint="eastAsia" w:ascii="宋体" w:hAnsi="宋体" w:cs="微软雅黑"/>
          <w:b/>
          <w:color w:val="auto"/>
          <w:kern w:val="0"/>
          <w:position w:val="-3"/>
          <w:sz w:val="28"/>
          <w:szCs w:val="28"/>
          <w:highlight w:val="none"/>
        </w:rPr>
        <w:t>价明细表</w:t>
      </w:r>
    </w:p>
    <w:p>
      <w:pPr>
        <w:adjustRightInd w:val="0"/>
        <w:snapToGrid w:val="0"/>
        <w:spacing w:line="360" w:lineRule="auto"/>
        <w:rPr>
          <w:rFonts w:ascii="宋体" w:hAnsi="宋体"/>
          <w:color w:val="auto"/>
          <w:szCs w:val="21"/>
          <w:highlight w:val="none"/>
          <w:u w:val="single"/>
        </w:rPr>
      </w:pP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p>
    <w:tbl>
      <w:tblPr>
        <w:tblStyle w:val="37"/>
        <w:tblW w:w="9459" w:type="dxa"/>
        <w:tblInd w:w="0" w:type="dxa"/>
        <w:tblLayout w:type="fixed"/>
        <w:tblCellMar>
          <w:top w:w="0" w:type="dxa"/>
          <w:left w:w="0" w:type="dxa"/>
          <w:bottom w:w="0" w:type="dxa"/>
          <w:right w:w="0" w:type="dxa"/>
        </w:tblCellMar>
      </w:tblPr>
      <w:tblGrid>
        <w:gridCol w:w="459"/>
        <w:gridCol w:w="1763"/>
        <w:gridCol w:w="1444"/>
        <w:gridCol w:w="581"/>
        <w:gridCol w:w="600"/>
        <w:gridCol w:w="1800"/>
        <w:gridCol w:w="2212"/>
        <w:gridCol w:w="600"/>
      </w:tblGrid>
      <w:tr>
        <w:tblPrEx>
          <w:tblCellMar>
            <w:top w:w="0" w:type="dxa"/>
            <w:left w:w="0" w:type="dxa"/>
            <w:bottom w:w="0" w:type="dxa"/>
            <w:right w:w="0" w:type="dxa"/>
          </w:tblCellMar>
        </w:tblPrEx>
        <w:trPr>
          <w:trHeight w:val="677" w:hRule="atLeast"/>
        </w:trPr>
        <w:tc>
          <w:tcPr>
            <w:tcW w:w="2222" w:type="dxa"/>
            <w:gridSpan w:val="2"/>
            <w:vMerge w:val="restart"/>
            <w:tcBorders>
              <w:top w:val="double" w:color="auto" w:sz="4" w:space="0"/>
              <w:left w:val="double" w:color="auto" w:sz="4" w:space="0"/>
              <w:right w:val="single" w:color="auto" w:sz="6" w:space="0"/>
            </w:tcBorders>
            <w:vAlign w:val="center"/>
          </w:tcPr>
          <w:p>
            <w:pPr>
              <w:autoSpaceDE w:val="0"/>
              <w:autoSpaceDN w:val="0"/>
              <w:adjustRightInd w:val="0"/>
              <w:snapToGrid w:val="0"/>
              <w:ind w:right="-20"/>
              <w:jc w:val="center"/>
              <w:rPr>
                <w:rFonts w:ascii="宋体" w:hAnsi="宋体" w:cs="微软雅黑"/>
                <w:color w:val="auto"/>
                <w:kern w:val="0"/>
                <w:position w:val="-1"/>
                <w:szCs w:val="21"/>
                <w:highlight w:val="none"/>
              </w:rPr>
            </w:pPr>
            <w:r>
              <w:rPr>
                <w:rFonts w:hint="eastAsia" w:ascii="宋体" w:hAnsi="宋体" w:cs="微软雅黑"/>
                <w:color w:val="auto"/>
                <w:kern w:val="0"/>
                <w:position w:val="-1"/>
                <w:szCs w:val="21"/>
                <w:highlight w:val="none"/>
              </w:rPr>
              <w:t>分项项目名称</w:t>
            </w:r>
          </w:p>
        </w:tc>
        <w:tc>
          <w:tcPr>
            <w:tcW w:w="1444" w:type="dxa"/>
            <w:vMerge w:val="restart"/>
            <w:tcBorders>
              <w:top w:val="double" w:color="auto" w:sz="4" w:space="0"/>
              <w:left w:val="single" w:color="auto" w:sz="6" w:space="0"/>
              <w:bottom w:val="single" w:color="auto" w:sz="6" w:space="0"/>
              <w:right w:val="single" w:color="auto" w:sz="4" w:space="0"/>
            </w:tcBorders>
            <w:vAlign w:val="center"/>
          </w:tcPr>
          <w:p>
            <w:pPr>
              <w:autoSpaceDE w:val="0"/>
              <w:autoSpaceDN w:val="0"/>
              <w:adjustRightInd w:val="0"/>
              <w:snapToGrid w:val="0"/>
              <w:ind w:right="-20"/>
              <w:jc w:val="center"/>
              <w:rPr>
                <w:rFonts w:ascii="宋体" w:hAnsi="宋体"/>
                <w:color w:val="auto"/>
                <w:szCs w:val="21"/>
                <w:highlight w:val="none"/>
              </w:rPr>
            </w:pPr>
            <w:r>
              <w:rPr>
                <w:rFonts w:hint="eastAsia" w:ascii="宋体" w:hAnsi="宋体"/>
                <w:color w:val="auto"/>
                <w:szCs w:val="21"/>
                <w:highlight w:val="none"/>
              </w:rPr>
              <w:t>设备名称</w:t>
            </w:r>
          </w:p>
        </w:tc>
        <w:tc>
          <w:tcPr>
            <w:tcW w:w="581" w:type="dxa"/>
            <w:vMerge w:val="restart"/>
            <w:tcBorders>
              <w:top w:val="double" w:color="auto" w:sz="4" w:space="0"/>
              <w:left w:val="single" w:color="auto" w:sz="4" w:space="0"/>
              <w:bottom w:val="single" w:color="auto" w:sz="6" w:space="0"/>
              <w:right w:val="single" w:color="auto" w:sz="6" w:space="0"/>
            </w:tcBorders>
            <w:vAlign w:val="center"/>
          </w:tcPr>
          <w:p>
            <w:pPr>
              <w:autoSpaceDE w:val="0"/>
              <w:autoSpaceDN w:val="0"/>
              <w:adjustRightInd w:val="0"/>
              <w:snapToGrid w:val="0"/>
              <w:ind w:right="-20"/>
              <w:jc w:val="center"/>
              <w:rPr>
                <w:rFonts w:ascii="宋体" w:hAnsi="宋体"/>
                <w:color w:val="auto"/>
                <w:szCs w:val="21"/>
                <w:highlight w:val="none"/>
              </w:rPr>
            </w:pPr>
            <w:r>
              <w:rPr>
                <w:rFonts w:hint="eastAsia" w:ascii="宋体" w:hAnsi="宋体"/>
                <w:color w:val="auto"/>
                <w:szCs w:val="21"/>
                <w:highlight w:val="none"/>
              </w:rPr>
              <w:t>数量</w:t>
            </w:r>
          </w:p>
        </w:tc>
        <w:tc>
          <w:tcPr>
            <w:tcW w:w="600" w:type="dxa"/>
            <w:vMerge w:val="restart"/>
            <w:tcBorders>
              <w:top w:val="double" w:color="auto" w:sz="4" w:space="0"/>
              <w:left w:val="single" w:color="auto" w:sz="6" w:space="0"/>
              <w:right w:val="single" w:color="auto" w:sz="4" w:space="0"/>
            </w:tcBorders>
            <w:vAlign w:val="center"/>
          </w:tcPr>
          <w:p>
            <w:pPr>
              <w:autoSpaceDE w:val="0"/>
              <w:autoSpaceDN w:val="0"/>
              <w:adjustRightInd w:val="0"/>
              <w:snapToGrid w:val="0"/>
              <w:ind w:right="-20"/>
              <w:jc w:val="center"/>
              <w:rPr>
                <w:rFonts w:ascii="宋体" w:hAnsi="宋体" w:cs="微软雅黑"/>
                <w:color w:val="auto"/>
                <w:kern w:val="0"/>
                <w:position w:val="-1"/>
                <w:szCs w:val="21"/>
                <w:highlight w:val="none"/>
              </w:rPr>
            </w:pPr>
            <w:r>
              <w:rPr>
                <w:rFonts w:hint="eastAsia" w:ascii="宋体" w:hAnsi="宋体"/>
                <w:color w:val="auto"/>
                <w:kern w:val="0"/>
                <w:szCs w:val="21"/>
                <w:highlight w:val="none"/>
              </w:rPr>
              <w:t>单位</w:t>
            </w:r>
          </w:p>
        </w:tc>
        <w:tc>
          <w:tcPr>
            <w:tcW w:w="4012" w:type="dxa"/>
            <w:gridSpan w:val="2"/>
            <w:tcBorders>
              <w:top w:val="double" w:color="auto" w:sz="4" w:space="0"/>
              <w:left w:val="single" w:color="auto" w:sz="4" w:space="0"/>
              <w:bottom w:val="single" w:color="auto" w:sz="6" w:space="0"/>
              <w:right w:val="single" w:color="auto" w:sz="6" w:space="0"/>
            </w:tcBorders>
            <w:vAlign w:val="center"/>
          </w:tcPr>
          <w:p>
            <w:pPr>
              <w:autoSpaceDE w:val="0"/>
              <w:autoSpaceDN w:val="0"/>
              <w:adjustRightInd w:val="0"/>
              <w:snapToGrid w:val="0"/>
              <w:ind w:right="-20"/>
              <w:jc w:val="center"/>
              <w:rPr>
                <w:rFonts w:ascii="宋体" w:hAnsi="宋体" w:cs="微软雅黑"/>
                <w:color w:val="auto"/>
                <w:kern w:val="0"/>
                <w:position w:val="-1"/>
                <w:szCs w:val="21"/>
                <w:highlight w:val="none"/>
              </w:rPr>
            </w:pPr>
            <w:r>
              <w:rPr>
                <w:rFonts w:hint="eastAsia" w:ascii="宋体" w:hAnsi="宋体" w:cs="微软雅黑"/>
                <w:color w:val="auto"/>
                <w:kern w:val="0"/>
                <w:position w:val="-1"/>
                <w:szCs w:val="21"/>
                <w:highlight w:val="none"/>
              </w:rPr>
              <w:t>金额（元）</w:t>
            </w:r>
          </w:p>
        </w:tc>
        <w:tc>
          <w:tcPr>
            <w:tcW w:w="600" w:type="dxa"/>
            <w:vMerge w:val="restart"/>
            <w:tcBorders>
              <w:top w:val="double" w:color="auto" w:sz="4" w:space="0"/>
              <w:left w:val="single" w:color="auto" w:sz="6" w:space="0"/>
              <w:bottom w:val="single" w:color="auto" w:sz="6" w:space="0"/>
              <w:right w:val="double" w:color="auto" w:sz="4" w:space="0"/>
            </w:tcBorders>
            <w:vAlign w:val="center"/>
          </w:tcPr>
          <w:p>
            <w:pPr>
              <w:autoSpaceDE w:val="0"/>
              <w:autoSpaceDN w:val="0"/>
              <w:adjustRightInd w:val="0"/>
              <w:snapToGrid w:val="0"/>
              <w:ind w:right="-20"/>
              <w:jc w:val="center"/>
              <w:rPr>
                <w:rFonts w:ascii="宋体" w:hAnsi="宋体" w:cs="微软雅黑"/>
                <w:color w:val="auto"/>
                <w:kern w:val="0"/>
                <w:position w:val="-1"/>
                <w:szCs w:val="21"/>
                <w:highlight w:val="none"/>
              </w:rPr>
            </w:pPr>
            <w:r>
              <w:rPr>
                <w:rFonts w:hint="eastAsia" w:ascii="宋体" w:hAnsi="宋体" w:cs="微软雅黑"/>
                <w:color w:val="auto"/>
                <w:kern w:val="0"/>
                <w:position w:val="-1"/>
                <w:szCs w:val="21"/>
                <w:highlight w:val="none"/>
              </w:rPr>
              <w:t>备注</w:t>
            </w:r>
          </w:p>
        </w:tc>
      </w:tr>
      <w:tr>
        <w:tblPrEx>
          <w:tblCellMar>
            <w:top w:w="0" w:type="dxa"/>
            <w:left w:w="0" w:type="dxa"/>
            <w:bottom w:w="0" w:type="dxa"/>
            <w:right w:w="0" w:type="dxa"/>
          </w:tblCellMar>
        </w:tblPrEx>
        <w:trPr>
          <w:trHeight w:val="677" w:hRule="atLeast"/>
        </w:trPr>
        <w:tc>
          <w:tcPr>
            <w:tcW w:w="2222" w:type="dxa"/>
            <w:gridSpan w:val="2"/>
            <w:vMerge w:val="continue"/>
            <w:tcBorders>
              <w:left w:val="double" w:color="auto" w:sz="4" w:space="0"/>
              <w:bottom w:val="single" w:color="auto" w:sz="6" w:space="0"/>
              <w:right w:val="single" w:color="auto" w:sz="6" w:space="0"/>
            </w:tcBorders>
          </w:tcPr>
          <w:p>
            <w:pPr>
              <w:autoSpaceDE w:val="0"/>
              <w:autoSpaceDN w:val="0"/>
              <w:adjustRightInd w:val="0"/>
              <w:snapToGrid w:val="0"/>
              <w:ind w:left="352" w:right="-20"/>
              <w:jc w:val="left"/>
              <w:rPr>
                <w:rFonts w:ascii="宋体" w:hAnsi="宋体"/>
                <w:color w:val="auto"/>
                <w:kern w:val="0"/>
                <w:szCs w:val="21"/>
                <w:highlight w:val="none"/>
              </w:rPr>
            </w:pPr>
          </w:p>
        </w:tc>
        <w:tc>
          <w:tcPr>
            <w:tcW w:w="1444" w:type="dxa"/>
            <w:vMerge w:val="continue"/>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ind w:right="-20"/>
              <w:jc w:val="center"/>
              <w:rPr>
                <w:rFonts w:ascii="宋体" w:hAnsi="宋体"/>
                <w:color w:val="auto"/>
                <w:kern w:val="0"/>
                <w:szCs w:val="21"/>
                <w:highlight w:val="none"/>
              </w:rPr>
            </w:pPr>
          </w:p>
        </w:tc>
        <w:tc>
          <w:tcPr>
            <w:tcW w:w="581" w:type="dxa"/>
            <w:vMerge w:val="continue"/>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ind w:right="-20"/>
              <w:jc w:val="center"/>
              <w:rPr>
                <w:rFonts w:ascii="宋体" w:hAnsi="宋体"/>
                <w:color w:val="auto"/>
                <w:kern w:val="0"/>
                <w:szCs w:val="21"/>
                <w:highlight w:val="none"/>
              </w:rPr>
            </w:pPr>
          </w:p>
        </w:tc>
        <w:tc>
          <w:tcPr>
            <w:tcW w:w="600" w:type="dxa"/>
            <w:vMerge w:val="continue"/>
            <w:tcBorders>
              <w:left w:val="single" w:color="auto" w:sz="6" w:space="0"/>
              <w:bottom w:val="single" w:color="auto" w:sz="6" w:space="0"/>
              <w:right w:val="single" w:color="auto" w:sz="4" w:space="0"/>
            </w:tcBorders>
            <w:vAlign w:val="center"/>
          </w:tcPr>
          <w:p>
            <w:pPr>
              <w:autoSpaceDE w:val="0"/>
              <w:autoSpaceDN w:val="0"/>
              <w:adjustRightInd w:val="0"/>
              <w:snapToGrid w:val="0"/>
              <w:ind w:right="-20"/>
              <w:jc w:val="center"/>
              <w:rPr>
                <w:rFonts w:ascii="宋体" w:hAnsi="宋体"/>
                <w:color w:val="auto"/>
                <w:kern w:val="0"/>
                <w:szCs w:val="21"/>
                <w:highlight w:val="none"/>
              </w:rPr>
            </w:pPr>
          </w:p>
        </w:tc>
        <w:tc>
          <w:tcPr>
            <w:tcW w:w="1800" w:type="dxa"/>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napToGrid w:val="0"/>
              <w:ind w:right="-20"/>
              <w:jc w:val="center"/>
              <w:rPr>
                <w:rFonts w:ascii="宋体" w:hAnsi="宋体"/>
                <w:color w:val="auto"/>
                <w:kern w:val="0"/>
                <w:szCs w:val="21"/>
                <w:highlight w:val="none"/>
              </w:rPr>
            </w:pPr>
            <w:r>
              <w:rPr>
                <w:rFonts w:hint="eastAsia" w:ascii="宋体" w:hAnsi="宋体" w:cs="微软雅黑"/>
                <w:color w:val="auto"/>
                <w:kern w:val="0"/>
                <w:position w:val="-1"/>
                <w:szCs w:val="21"/>
                <w:highlight w:val="none"/>
              </w:rPr>
              <w:t>单价</w:t>
            </w:r>
          </w:p>
        </w:tc>
        <w:tc>
          <w:tcPr>
            <w:tcW w:w="2212"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ind w:left="70" w:right="-20"/>
              <w:jc w:val="center"/>
              <w:rPr>
                <w:rFonts w:ascii="宋体" w:hAnsi="宋体"/>
                <w:color w:val="auto"/>
                <w:kern w:val="0"/>
                <w:szCs w:val="21"/>
                <w:highlight w:val="none"/>
              </w:rPr>
            </w:pPr>
            <w:r>
              <w:rPr>
                <w:rFonts w:hint="eastAsia" w:ascii="宋体" w:hAnsi="宋体"/>
                <w:color w:val="auto"/>
                <w:kern w:val="0"/>
                <w:szCs w:val="21"/>
                <w:highlight w:val="none"/>
              </w:rPr>
              <w:t>总价</w:t>
            </w:r>
          </w:p>
        </w:tc>
        <w:tc>
          <w:tcPr>
            <w:tcW w:w="600" w:type="dxa"/>
            <w:vMerge w:val="continue"/>
            <w:tcBorders>
              <w:top w:val="single" w:color="auto" w:sz="6" w:space="0"/>
              <w:left w:val="single" w:color="auto" w:sz="6" w:space="0"/>
              <w:bottom w:val="single" w:color="auto" w:sz="6" w:space="0"/>
              <w:right w:val="double" w:color="auto" w:sz="4" w:space="0"/>
            </w:tcBorders>
          </w:tcPr>
          <w:p>
            <w:pPr>
              <w:autoSpaceDE w:val="0"/>
              <w:autoSpaceDN w:val="0"/>
              <w:adjustRightInd w:val="0"/>
              <w:snapToGrid w:val="0"/>
              <w:ind w:left="422" w:right="-20"/>
              <w:jc w:val="left"/>
              <w:rPr>
                <w:rFonts w:ascii="宋体" w:hAnsi="宋体"/>
                <w:color w:val="auto"/>
                <w:kern w:val="0"/>
                <w:szCs w:val="21"/>
                <w:highlight w:val="none"/>
              </w:rPr>
            </w:pPr>
          </w:p>
        </w:tc>
      </w:tr>
      <w:tr>
        <w:tblPrEx>
          <w:tblCellMar>
            <w:top w:w="0" w:type="dxa"/>
            <w:left w:w="0" w:type="dxa"/>
            <w:bottom w:w="0" w:type="dxa"/>
            <w:right w:w="0" w:type="dxa"/>
          </w:tblCellMar>
        </w:tblPrEx>
        <w:trPr>
          <w:trHeight w:val="677" w:hRule="atLeast"/>
        </w:trPr>
        <w:tc>
          <w:tcPr>
            <w:tcW w:w="459" w:type="dxa"/>
            <w:tcBorders>
              <w:top w:val="single" w:color="auto" w:sz="6" w:space="0"/>
              <w:left w:val="double" w:color="auto" w:sz="4" w:space="0"/>
              <w:bottom w:val="single" w:color="auto" w:sz="6" w:space="0"/>
              <w:right w:val="single" w:color="auto" w:sz="6" w:space="0"/>
            </w:tcBorders>
            <w:vAlign w:val="center"/>
          </w:tcPr>
          <w:p>
            <w:pPr>
              <w:jc w:val="center"/>
              <w:rPr>
                <w:rFonts w:ascii="宋体" w:hAnsi="宋体" w:cs="宋体"/>
                <w:color w:val="auto"/>
                <w:highlight w:val="none"/>
              </w:rPr>
            </w:pPr>
            <w:r>
              <w:rPr>
                <w:rFonts w:hint="eastAsia" w:ascii="宋体" w:hAnsi="宋体" w:cs="宋体"/>
                <w:color w:val="auto"/>
                <w:highlight w:val="none"/>
              </w:rPr>
              <w:t>1</w:t>
            </w:r>
          </w:p>
        </w:tc>
        <w:tc>
          <w:tcPr>
            <w:tcW w:w="176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ind w:right="-20"/>
              <w:jc w:val="center"/>
              <w:rPr>
                <w:rFonts w:ascii="宋体" w:hAnsi="宋体" w:cs="微软雅黑"/>
                <w:color w:val="auto"/>
                <w:kern w:val="0"/>
                <w:position w:val="-1"/>
                <w:szCs w:val="21"/>
                <w:highlight w:val="none"/>
              </w:rPr>
            </w:pPr>
          </w:p>
        </w:tc>
        <w:tc>
          <w:tcPr>
            <w:tcW w:w="1444"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jc w:val="left"/>
              <w:rPr>
                <w:rFonts w:ascii="宋体" w:hAnsi="宋体"/>
                <w:color w:val="auto"/>
                <w:kern w:val="0"/>
                <w:szCs w:val="21"/>
                <w:highlight w:val="none"/>
              </w:rPr>
            </w:pPr>
          </w:p>
        </w:tc>
        <w:tc>
          <w:tcPr>
            <w:tcW w:w="581"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jc w:val="left"/>
              <w:rPr>
                <w:rFonts w:ascii="宋体" w:hAnsi="宋体"/>
                <w:color w:val="auto"/>
                <w:kern w:val="0"/>
                <w:szCs w:val="21"/>
                <w:highlight w:val="none"/>
              </w:rPr>
            </w:pPr>
          </w:p>
        </w:tc>
        <w:tc>
          <w:tcPr>
            <w:tcW w:w="60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jc w:val="center"/>
              <w:rPr>
                <w:rFonts w:ascii="宋体" w:hAnsi="宋体"/>
                <w:color w:val="auto"/>
                <w:kern w:val="0"/>
                <w:szCs w:val="21"/>
                <w:highlight w:val="none"/>
              </w:rPr>
            </w:pPr>
          </w:p>
        </w:tc>
        <w:tc>
          <w:tcPr>
            <w:tcW w:w="180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jc w:val="left"/>
              <w:rPr>
                <w:rFonts w:ascii="宋体" w:hAnsi="宋体"/>
                <w:color w:val="auto"/>
                <w:kern w:val="0"/>
                <w:szCs w:val="21"/>
                <w:highlight w:val="none"/>
              </w:rPr>
            </w:pPr>
          </w:p>
        </w:tc>
        <w:tc>
          <w:tcPr>
            <w:tcW w:w="221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jc w:val="left"/>
              <w:rPr>
                <w:rFonts w:ascii="宋体" w:hAnsi="宋体"/>
                <w:color w:val="auto"/>
                <w:kern w:val="0"/>
                <w:szCs w:val="21"/>
                <w:highlight w:val="none"/>
              </w:rPr>
            </w:pPr>
          </w:p>
        </w:tc>
        <w:tc>
          <w:tcPr>
            <w:tcW w:w="600" w:type="dxa"/>
            <w:tcBorders>
              <w:top w:val="single" w:color="auto" w:sz="6" w:space="0"/>
              <w:left w:val="single" w:color="auto" w:sz="6" w:space="0"/>
              <w:bottom w:val="single" w:color="auto" w:sz="6" w:space="0"/>
              <w:right w:val="double" w:color="auto" w:sz="4" w:space="0"/>
            </w:tcBorders>
          </w:tcPr>
          <w:p>
            <w:pPr>
              <w:autoSpaceDE w:val="0"/>
              <w:autoSpaceDN w:val="0"/>
              <w:adjustRightInd w:val="0"/>
              <w:snapToGrid w:val="0"/>
              <w:jc w:val="left"/>
              <w:rPr>
                <w:rFonts w:ascii="宋体" w:hAnsi="宋体"/>
                <w:color w:val="auto"/>
                <w:kern w:val="0"/>
                <w:szCs w:val="21"/>
                <w:highlight w:val="none"/>
              </w:rPr>
            </w:pPr>
          </w:p>
        </w:tc>
      </w:tr>
      <w:tr>
        <w:tblPrEx>
          <w:tblCellMar>
            <w:top w:w="0" w:type="dxa"/>
            <w:left w:w="0" w:type="dxa"/>
            <w:bottom w:w="0" w:type="dxa"/>
            <w:right w:w="0" w:type="dxa"/>
          </w:tblCellMar>
        </w:tblPrEx>
        <w:trPr>
          <w:trHeight w:val="677" w:hRule="atLeast"/>
        </w:trPr>
        <w:tc>
          <w:tcPr>
            <w:tcW w:w="459" w:type="dxa"/>
            <w:tcBorders>
              <w:top w:val="single" w:color="auto" w:sz="6" w:space="0"/>
              <w:left w:val="double" w:color="auto" w:sz="4" w:space="0"/>
              <w:bottom w:val="single" w:color="auto" w:sz="6" w:space="0"/>
              <w:right w:val="single" w:color="auto" w:sz="6" w:space="0"/>
            </w:tcBorders>
            <w:vAlign w:val="center"/>
          </w:tcPr>
          <w:p>
            <w:pPr>
              <w:jc w:val="center"/>
              <w:rPr>
                <w:rFonts w:ascii="宋体" w:hAnsi="宋体" w:cs="宋体"/>
                <w:color w:val="auto"/>
                <w:highlight w:val="none"/>
              </w:rPr>
            </w:pPr>
            <w:r>
              <w:rPr>
                <w:rFonts w:hint="eastAsia" w:ascii="宋体" w:hAnsi="宋体" w:cs="宋体"/>
                <w:color w:val="auto"/>
                <w:highlight w:val="none"/>
              </w:rPr>
              <w:t>2</w:t>
            </w:r>
          </w:p>
        </w:tc>
        <w:tc>
          <w:tcPr>
            <w:tcW w:w="176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ind w:right="-20"/>
              <w:jc w:val="center"/>
              <w:rPr>
                <w:rFonts w:ascii="宋体" w:hAnsi="宋体" w:cs="微软雅黑"/>
                <w:color w:val="auto"/>
                <w:kern w:val="0"/>
                <w:position w:val="-1"/>
                <w:szCs w:val="21"/>
                <w:highlight w:val="none"/>
              </w:rPr>
            </w:pPr>
          </w:p>
        </w:tc>
        <w:tc>
          <w:tcPr>
            <w:tcW w:w="1444"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jc w:val="left"/>
              <w:rPr>
                <w:rFonts w:ascii="宋体" w:hAnsi="宋体"/>
                <w:color w:val="auto"/>
                <w:kern w:val="0"/>
                <w:szCs w:val="21"/>
                <w:highlight w:val="none"/>
              </w:rPr>
            </w:pPr>
          </w:p>
        </w:tc>
        <w:tc>
          <w:tcPr>
            <w:tcW w:w="581"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jc w:val="left"/>
              <w:rPr>
                <w:rFonts w:ascii="宋体" w:hAnsi="宋体"/>
                <w:color w:val="auto"/>
                <w:kern w:val="0"/>
                <w:szCs w:val="21"/>
                <w:highlight w:val="none"/>
              </w:rPr>
            </w:pPr>
          </w:p>
        </w:tc>
        <w:tc>
          <w:tcPr>
            <w:tcW w:w="60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jc w:val="center"/>
              <w:rPr>
                <w:rFonts w:ascii="宋体" w:hAnsi="宋体"/>
                <w:color w:val="auto"/>
                <w:kern w:val="0"/>
                <w:szCs w:val="21"/>
                <w:highlight w:val="none"/>
              </w:rPr>
            </w:pPr>
          </w:p>
        </w:tc>
        <w:tc>
          <w:tcPr>
            <w:tcW w:w="180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jc w:val="left"/>
              <w:rPr>
                <w:rFonts w:ascii="宋体" w:hAnsi="宋体"/>
                <w:color w:val="auto"/>
                <w:kern w:val="0"/>
                <w:szCs w:val="21"/>
                <w:highlight w:val="none"/>
              </w:rPr>
            </w:pPr>
          </w:p>
        </w:tc>
        <w:tc>
          <w:tcPr>
            <w:tcW w:w="221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jc w:val="left"/>
              <w:rPr>
                <w:rFonts w:ascii="宋体" w:hAnsi="宋体"/>
                <w:color w:val="auto"/>
                <w:kern w:val="0"/>
                <w:szCs w:val="21"/>
                <w:highlight w:val="none"/>
              </w:rPr>
            </w:pPr>
          </w:p>
        </w:tc>
        <w:tc>
          <w:tcPr>
            <w:tcW w:w="600" w:type="dxa"/>
            <w:tcBorders>
              <w:top w:val="single" w:color="auto" w:sz="6" w:space="0"/>
              <w:left w:val="single" w:color="auto" w:sz="6" w:space="0"/>
              <w:bottom w:val="single" w:color="auto" w:sz="6" w:space="0"/>
              <w:right w:val="double" w:color="auto" w:sz="4" w:space="0"/>
            </w:tcBorders>
          </w:tcPr>
          <w:p>
            <w:pPr>
              <w:autoSpaceDE w:val="0"/>
              <w:autoSpaceDN w:val="0"/>
              <w:adjustRightInd w:val="0"/>
              <w:snapToGrid w:val="0"/>
              <w:jc w:val="left"/>
              <w:rPr>
                <w:rFonts w:ascii="宋体" w:hAnsi="宋体"/>
                <w:color w:val="auto"/>
                <w:kern w:val="0"/>
                <w:szCs w:val="21"/>
                <w:highlight w:val="none"/>
              </w:rPr>
            </w:pPr>
          </w:p>
        </w:tc>
      </w:tr>
      <w:tr>
        <w:tblPrEx>
          <w:tblCellMar>
            <w:top w:w="0" w:type="dxa"/>
            <w:left w:w="0" w:type="dxa"/>
            <w:bottom w:w="0" w:type="dxa"/>
            <w:right w:w="0" w:type="dxa"/>
          </w:tblCellMar>
        </w:tblPrEx>
        <w:trPr>
          <w:trHeight w:val="677" w:hRule="atLeast"/>
        </w:trPr>
        <w:tc>
          <w:tcPr>
            <w:tcW w:w="459" w:type="dxa"/>
            <w:tcBorders>
              <w:top w:val="single" w:color="auto" w:sz="6" w:space="0"/>
              <w:left w:val="double" w:color="auto" w:sz="4" w:space="0"/>
              <w:bottom w:val="single" w:color="auto" w:sz="6" w:space="0"/>
              <w:right w:val="single" w:color="auto" w:sz="6" w:space="0"/>
            </w:tcBorders>
            <w:vAlign w:val="center"/>
          </w:tcPr>
          <w:p>
            <w:pPr>
              <w:jc w:val="center"/>
              <w:rPr>
                <w:rFonts w:ascii="宋体" w:hAnsi="宋体" w:cs="宋体"/>
                <w:color w:val="auto"/>
                <w:highlight w:val="none"/>
              </w:rPr>
            </w:pPr>
            <w:r>
              <w:rPr>
                <w:rFonts w:hint="eastAsia" w:ascii="宋体" w:hAnsi="宋体" w:cs="宋体"/>
                <w:color w:val="auto"/>
                <w:highlight w:val="none"/>
              </w:rPr>
              <w:t>3</w:t>
            </w:r>
          </w:p>
        </w:tc>
        <w:tc>
          <w:tcPr>
            <w:tcW w:w="176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ind w:right="-20"/>
              <w:jc w:val="center"/>
              <w:rPr>
                <w:rFonts w:ascii="宋体" w:hAnsi="宋体" w:cs="微软雅黑"/>
                <w:color w:val="auto"/>
                <w:kern w:val="0"/>
                <w:position w:val="-1"/>
                <w:szCs w:val="21"/>
                <w:highlight w:val="none"/>
              </w:rPr>
            </w:pPr>
          </w:p>
        </w:tc>
        <w:tc>
          <w:tcPr>
            <w:tcW w:w="1444"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jc w:val="left"/>
              <w:rPr>
                <w:rFonts w:ascii="宋体" w:hAnsi="宋体"/>
                <w:color w:val="auto"/>
                <w:kern w:val="0"/>
                <w:szCs w:val="21"/>
                <w:highlight w:val="none"/>
              </w:rPr>
            </w:pPr>
          </w:p>
        </w:tc>
        <w:tc>
          <w:tcPr>
            <w:tcW w:w="581"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jc w:val="left"/>
              <w:rPr>
                <w:rFonts w:ascii="宋体" w:hAnsi="宋体"/>
                <w:color w:val="auto"/>
                <w:kern w:val="0"/>
                <w:szCs w:val="21"/>
                <w:highlight w:val="none"/>
              </w:rPr>
            </w:pPr>
          </w:p>
        </w:tc>
        <w:tc>
          <w:tcPr>
            <w:tcW w:w="60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jc w:val="center"/>
              <w:rPr>
                <w:rFonts w:ascii="宋体" w:hAnsi="宋体"/>
                <w:color w:val="auto"/>
                <w:kern w:val="0"/>
                <w:szCs w:val="21"/>
                <w:highlight w:val="none"/>
              </w:rPr>
            </w:pPr>
          </w:p>
        </w:tc>
        <w:tc>
          <w:tcPr>
            <w:tcW w:w="180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jc w:val="left"/>
              <w:rPr>
                <w:rFonts w:ascii="宋体" w:hAnsi="宋体"/>
                <w:color w:val="auto"/>
                <w:kern w:val="0"/>
                <w:szCs w:val="21"/>
                <w:highlight w:val="none"/>
              </w:rPr>
            </w:pPr>
          </w:p>
        </w:tc>
        <w:tc>
          <w:tcPr>
            <w:tcW w:w="221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jc w:val="left"/>
              <w:rPr>
                <w:rFonts w:ascii="宋体" w:hAnsi="宋体"/>
                <w:color w:val="auto"/>
                <w:kern w:val="0"/>
                <w:szCs w:val="21"/>
                <w:highlight w:val="none"/>
              </w:rPr>
            </w:pPr>
          </w:p>
        </w:tc>
        <w:tc>
          <w:tcPr>
            <w:tcW w:w="600" w:type="dxa"/>
            <w:tcBorders>
              <w:top w:val="single" w:color="auto" w:sz="6" w:space="0"/>
              <w:left w:val="single" w:color="auto" w:sz="6" w:space="0"/>
              <w:bottom w:val="single" w:color="auto" w:sz="6" w:space="0"/>
              <w:right w:val="double" w:color="auto" w:sz="4" w:space="0"/>
            </w:tcBorders>
          </w:tcPr>
          <w:p>
            <w:pPr>
              <w:autoSpaceDE w:val="0"/>
              <w:autoSpaceDN w:val="0"/>
              <w:adjustRightInd w:val="0"/>
              <w:snapToGrid w:val="0"/>
              <w:jc w:val="left"/>
              <w:rPr>
                <w:rFonts w:ascii="宋体" w:hAnsi="宋体"/>
                <w:color w:val="auto"/>
                <w:kern w:val="0"/>
                <w:szCs w:val="21"/>
                <w:highlight w:val="none"/>
              </w:rPr>
            </w:pPr>
          </w:p>
        </w:tc>
      </w:tr>
      <w:tr>
        <w:tblPrEx>
          <w:tblCellMar>
            <w:top w:w="0" w:type="dxa"/>
            <w:left w:w="0" w:type="dxa"/>
            <w:bottom w:w="0" w:type="dxa"/>
            <w:right w:w="0" w:type="dxa"/>
          </w:tblCellMar>
        </w:tblPrEx>
        <w:trPr>
          <w:trHeight w:val="677" w:hRule="atLeast"/>
        </w:trPr>
        <w:tc>
          <w:tcPr>
            <w:tcW w:w="459" w:type="dxa"/>
            <w:tcBorders>
              <w:top w:val="single" w:color="auto" w:sz="6" w:space="0"/>
              <w:left w:val="double" w:color="auto" w:sz="4" w:space="0"/>
              <w:bottom w:val="single" w:color="auto" w:sz="6" w:space="0"/>
              <w:right w:val="single" w:color="auto" w:sz="6" w:space="0"/>
            </w:tcBorders>
            <w:vAlign w:val="center"/>
          </w:tcPr>
          <w:p>
            <w:pPr>
              <w:jc w:val="center"/>
              <w:rPr>
                <w:rFonts w:ascii="宋体" w:hAnsi="宋体" w:cs="宋体"/>
                <w:color w:val="auto"/>
                <w:highlight w:val="none"/>
              </w:rPr>
            </w:pPr>
          </w:p>
        </w:tc>
        <w:tc>
          <w:tcPr>
            <w:tcW w:w="176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ind w:right="-20"/>
              <w:jc w:val="center"/>
              <w:rPr>
                <w:rFonts w:ascii="宋体" w:hAnsi="宋体" w:cs="微软雅黑"/>
                <w:color w:val="auto"/>
                <w:kern w:val="0"/>
                <w:position w:val="-1"/>
                <w:szCs w:val="21"/>
                <w:highlight w:val="none"/>
              </w:rPr>
            </w:pPr>
          </w:p>
        </w:tc>
        <w:tc>
          <w:tcPr>
            <w:tcW w:w="1444"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jc w:val="left"/>
              <w:rPr>
                <w:rFonts w:ascii="宋体" w:hAnsi="宋体"/>
                <w:color w:val="auto"/>
                <w:kern w:val="0"/>
                <w:szCs w:val="21"/>
                <w:highlight w:val="none"/>
              </w:rPr>
            </w:pPr>
          </w:p>
        </w:tc>
        <w:tc>
          <w:tcPr>
            <w:tcW w:w="581"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jc w:val="left"/>
              <w:rPr>
                <w:rFonts w:ascii="宋体" w:hAnsi="宋体"/>
                <w:color w:val="auto"/>
                <w:kern w:val="0"/>
                <w:szCs w:val="21"/>
                <w:highlight w:val="none"/>
              </w:rPr>
            </w:pPr>
          </w:p>
        </w:tc>
        <w:tc>
          <w:tcPr>
            <w:tcW w:w="60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jc w:val="center"/>
              <w:rPr>
                <w:rFonts w:ascii="宋体" w:hAnsi="宋体"/>
                <w:color w:val="auto"/>
                <w:kern w:val="0"/>
                <w:szCs w:val="21"/>
                <w:highlight w:val="none"/>
              </w:rPr>
            </w:pPr>
          </w:p>
        </w:tc>
        <w:tc>
          <w:tcPr>
            <w:tcW w:w="180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jc w:val="left"/>
              <w:rPr>
                <w:rFonts w:ascii="宋体" w:hAnsi="宋体"/>
                <w:color w:val="auto"/>
                <w:kern w:val="0"/>
                <w:szCs w:val="21"/>
                <w:highlight w:val="none"/>
              </w:rPr>
            </w:pPr>
          </w:p>
        </w:tc>
        <w:tc>
          <w:tcPr>
            <w:tcW w:w="221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jc w:val="left"/>
              <w:rPr>
                <w:rFonts w:ascii="宋体" w:hAnsi="宋体"/>
                <w:color w:val="auto"/>
                <w:kern w:val="0"/>
                <w:szCs w:val="21"/>
                <w:highlight w:val="none"/>
              </w:rPr>
            </w:pPr>
          </w:p>
        </w:tc>
        <w:tc>
          <w:tcPr>
            <w:tcW w:w="600" w:type="dxa"/>
            <w:tcBorders>
              <w:top w:val="single" w:color="auto" w:sz="6" w:space="0"/>
              <w:left w:val="single" w:color="auto" w:sz="6" w:space="0"/>
              <w:bottom w:val="single" w:color="auto" w:sz="6" w:space="0"/>
              <w:right w:val="double" w:color="auto" w:sz="4" w:space="0"/>
            </w:tcBorders>
          </w:tcPr>
          <w:p>
            <w:pPr>
              <w:autoSpaceDE w:val="0"/>
              <w:autoSpaceDN w:val="0"/>
              <w:adjustRightInd w:val="0"/>
              <w:snapToGrid w:val="0"/>
              <w:jc w:val="left"/>
              <w:rPr>
                <w:rFonts w:ascii="宋体" w:hAnsi="宋体"/>
                <w:color w:val="auto"/>
                <w:kern w:val="0"/>
                <w:szCs w:val="21"/>
                <w:highlight w:val="none"/>
              </w:rPr>
            </w:pPr>
          </w:p>
        </w:tc>
      </w:tr>
      <w:tr>
        <w:tblPrEx>
          <w:tblCellMar>
            <w:top w:w="0" w:type="dxa"/>
            <w:left w:w="0" w:type="dxa"/>
            <w:bottom w:w="0" w:type="dxa"/>
            <w:right w:w="0" w:type="dxa"/>
          </w:tblCellMar>
        </w:tblPrEx>
        <w:trPr>
          <w:trHeight w:val="677" w:hRule="atLeast"/>
        </w:trPr>
        <w:tc>
          <w:tcPr>
            <w:tcW w:w="459" w:type="dxa"/>
            <w:tcBorders>
              <w:top w:val="single" w:color="auto" w:sz="6" w:space="0"/>
              <w:left w:val="double" w:color="auto" w:sz="4" w:space="0"/>
              <w:bottom w:val="single" w:color="auto" w:sz="6" w:space="0"/>
              <w:right w:val="single" w:color="auto" w:sz="6" w:space="0"/>
            </w:tcBorders>
            <w:vAlign w:val="center"/>
          </w:tcPr>
          <w:p>
            <w:pPr>
              <w:jc w:val="center"/>
              <w:rPr>
                <w:rFonts w:ascii="宋体" w:hAnsi="宋体" w:cs="宋体"/>
                <w:color w:val="auto"/>
                <w:highlight w:val="none"/>
              </w:rPr>
            </w:pPr>
          </w:p>
        </w:tc>
        <w:tc>
          <w:tcPr>
            <w:tcW w:w="176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ind w:right="-20"/>
              <w:jc w:val="center"/>
              <w:rPr>
                <w:rFonts w:ascii="宋体" w:hAnsi="宋体" w:cs="微软雅黑"/>
                <w:color w:val="auto"/>
                <w:kern w:val="0"/>
                <w:position w:val="-1"/>
                <w:szCs w:val="21"/>
                <w:highlight w:val="none"/>
              </w:rPr>
            </w:pPr>
          </w:p>
        </w:tc>
        <w:tc>
          <w:tcPr>
            <w:tcW w:w="1444"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jc w:val="left"/>
              <w:rPr>
                <w:rFonts w:ascii="宋体" w:hAnsi="宋体"/>
                <w:color w:val="auto"/>
                <w:kern w:val="0"/>
                <w:szCs w:val="21"/>
                <w:highlight w:val="none"/>
              </w:rPr>
            </w:pPr>
          </w:p>
        </w:tc>
        <w:tc>
          <w:tcPr>
            <w:tcW w:w="581"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jc w:val="left"/>
              <w:rPr>
                <w:rFonts w:ascii="宋体" w:hAnsi="宋体"/>
                <w:color w:val="auto"/>
                <w:kern w:val="0"/>
                <w:szCs w:val="21"/>
                <w:highlight w:val="none"/>
              </w:rPr>
            </w:pPr>
          </w:p>
        </w:tc>
        <w:tc>
          <w:tcPr>
            <w:tcW w:w="60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jc w:val="center"/>
              <w:rPr>
                <w:rFonts w:ascii="宋体" w:hAnsi="宋体"/>
                <w:color w:val="auto"/>
                <w:kern w:val="0"/>
                <w:szCs w:val="21"/>
                <w:highlight w:val="none"/>
              </w:rPr>
            </w:pPr>
          </w:p>
        </w:tc>
        <w:tc>
          <w:tcPr>
            <w:tcW w:w="180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jc w:val="left"/>
              <w:rPr>
                <w:rFonts w:ascii="宋体" w:hAnsi="宋体"/>
                <w:color w:val="auto"/>
                <w:kern w:val="0"/>
                <w:szCs w:val="21"/>
                <w:highlight w:val="none"/>
              </w:rPr>
            </w:pPr>
          </w:p>
        </w:tc>
        <w:tc>
          <w:tcPr>
            <w:tcW w:w="221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jc w:val="left"/>
              <w:rPr>
                <w:rFonts w:ascii="宋体" w:hAnsi="宋体"/>
                <w:color w:val="auto"/>
                <w:kern w:val="0"/>
                <w:szCs w:val="21"/>
                <w:highlight w:val="none"/>
              </w:rPr>
            </w:pPr>
          </w:p>
        </w:tc>
        <w:tc>
          <w:tcPr>
            <w:tcW w:w="600" w:type="dxa"/>
            <w:tcBorders>
              <w:top w:val="single" w:color="auto" w:sz="6" w:space="0"/>
              <w:left w:val="single" w:color="auto" w:sz="6" w:space="0"/>
              <w:bottom w:val="single" w:color="auto" w:sz="6" w:space="0"/>
              <w:right w:val="double" w:color="auto" w:sz="4" w:space="0"/>
            </w:tcBorders>
          </w:tcPr>
          <w:p>
            <w:pPr>
              <w:autoSpaceDE w:val="0"/>
              <w:autoSpaceDN w:val="0"/>
              <w:adjustRightInd w:val="0"/>
              <w:snapToGrid w:val="0"/>
              <w:jc w:val="left"/>
              <w:rPr>
                <w:rFonts w:ascii="宋体" w:hAnsi="宋体"/>
                <w:color w:val="auto"/>
                <w:kern w:val="0"/>
                <w:szCs w:val="21"/>
                <w:highlight w:val="none"/>
              </w:rPr>
            </w:pPr>
          </w:p>
        </w:tc>
      </w:tr>
      <w:tr>
        <w:tblPrEx>
          <w:tblCellMar>
            <w:top w:w="0" w:type="dxa"/>
            <w:left w:w="0" w:type="dxa"/>
            <w:bottom w:w="0" w:type="dxa"/>
            <w:right w:w="0" w:type="dxa"/>
          </w:tblCellMar>
        </w:tblPrEx>
        <w:trPr>
          <w:trHeight w:val="677" w:hRule="atLeast"/>
        </w:trPr>
        <w:tc>
          <w:tcPr>
            <w:tcW w:w="459" w:type="dxa"/>
            <w:tcBorders>
              <w:top w:val="single" w:color="auto" w:sz="6" w:space="0"/>
              <w:left w:val="double" w:color="auto" w:sz="4" w:space="0"/>
              <w:bottom w:val="single" w:color="auto" w:sz="6" w:space="0"/>
              <w:right w:val="single" w:color="auto" w:sz="6" w:space="0"/>
            </w:tcBorders>
            <w:vAlign w:val="center"/>
          </w:tcPr>
          <w:p>
            <w:pPr>
              <w:jc w:val="center"/>
              <w:rPr>
                <w:rFonts w:ascii="宋体" w:hAnsi="宋体" w:cs="宋体"/>
                <w:color w:val="auto"/>
                <w:highlight w:val="none"/>
              </w:rPr>
            </w:pPr>
          </w:p>
        </w:tc>
        <w:tc>
          <w:tcPr>
            <w:tcW w:w="176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ind w:right="-20"/>
              <w:jc w:val="center"/>
              <w:rPr>
                <w:rFonts w:ascii="宋体" w:hAnsi="宋体" w:cs="微软雅黑"/>
                <w:color w:val="auto"/>
                <w:kern w:val="0"/>
                <w:position w:val="-1"/>
                <w:szCs w:val="21"/>
                <w:highlight w:val="none"/>
              </w:rPr>
            </w:pPr>
          </w:p>
        </w:tc>
        <w:tc>
          <w:tcPr>
            <w:tcW w:w="1444"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jc w:val="left"/>
              <w:rPr>
                <w:rFonts w:ascii="宋体" w:hAnsi="宋体"/>
                <w:color w:val="auto"/>
                <w:kern w:val="0"/>
                <w:szCs w:val="21"/>
                <w:highlight w:val="none"/>
              </w:rPr>
            </w:pPr>
          </w:p>
        </w:tc>
        <w:tc>
          <w:tcPr>
            <w:tcW w:w="581"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jc w:val="left"/>
              <w:rPr>
                <w:rFonts w:ascii="宋体" w:hAnsi="宋体"/>
                <w:color w:val="auto"/>
                <w:kern w:val="0"/>
                <w:szCs w:val="21"/>
                <w:highlight w:val="none"/>
              </w:rPr>
            </w:pPr>
          </w:p>
        </w:tc>
        <w:tc>
          <w:tcPr>
            <w:tcW w:w="60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jc w:val="center"/>
              <w:rPr>
                <w:rFonts w:ascii="宋体" w:hAnsi="宋体"/>
                <w:color w:val="auto"/>
                <w:kern w:val="0"/>
                <w:szCs w:val="21"/>
                <w:highlight w:val="none"/>
              </w:rPr>
            </w:pPr>
          </w:p>
        </w:tc>
        <w:tc>
          <w:tcPr>
            <w:tcW w:w="180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jc w:val="left"/>
              <w:rPr>
                <w:rFonts w:ascii="宋体" w:hAnsi="宋体"/>
                <w:color w:val="auto"/>
                <w:kern w:val="0"/>
                <w:szCs w:val="21"/>
                <w:highlight w:val="none"/>
              </w:rPr>
            </w:pPr>
          </w:p>
        </w:tc>
        <w:tc>
          <w:tcPr>
            <w:tcW w:w="221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jc w:val="left"/>
              <w:rPr>
                <w:rFonts w:ascii="宋体" w:hAnsi="宋体"/>
                <w:color w:val="auto"/>
                <w:kern w:val="0"/>
                <w:szCs w:val="21"/>
                <w:highlight w:val="none"/>
              </w:rPr>
            </w:pPr>
          </w:p>
        </w:tc>
        <w:tc>
          <w:tcPr>
            <w:tcW w:w="600" w:type="dxa"/>
            <w:tcBorders>
              <w:top w:val="single" w:color="auto" w:sz="6" w:space="0"/>
              <w:left w:val="single" w:color="auto" w:sz="6" w:space="0"/>
              <w:bottom w:val="single" w:color="auto" w:sz="6" w:space="0"/>
              <w:right w:val="double" w:color="auto" w:sz="4" w:space="0"/>
            </w:tcBorders>
          </w:tcPr>
          <w:p>
            <w:pPr>
              <w:autoSpaceDE w:val="0"/>
              <w:autoSpaceDN w:val="0"/>
              <w:adjustRightInd w:val="0"/>
              <w:snapToGrid w:val="0"/>
              <w:jc w:val="left"/>
              <w:rPr>
                <w:rFonts w:ascii="宋体" w:hAnsi="宋体"/>
                <w:color w:val="auto"/>
                <w:kern w:val="0"/>
                <w:szCs w:val="21"/>
                <w:highlight w:val="none"/>
              </w:rPr>
            </w:pPr>
          </w:p>
        </w:tc>
      </w:tr>
      <w:tr>
        <w:tblPrEx>
          <w:tblCellMar>
            <w:top w:w="0" w:type="dxa"/>
            <w:left w:w="0" w:type="dxa"/>
            <w:bottom w:w="0" w:type="dxa"/>
            <w:right w:w="0" w:type="dxa"/>
          </w:tblCellMar>
        </w:tblPrEx>
        <w:trPr>
          <w:trHeight w:val="677" w:hRule="atLeast"/>
        </w:trPr>
        <w:tc>
          <w:tcPr>
            <w:tcW w:w="459" w:type="dxa"/>
            <w:tcBorders>
              <w:top w:val="single" w:color="auto" w:sz="6" w:space="0"/>
              <w:left w:val="double" w:color="auto" w:sz="4" w:space="0"/>
              <w:bottom w:val="single" w:color="auto" w:sz="6" w:space="0"/>
              <w:right w:val="single" w:color="auto" w:sz="6" w:space="0"/>
            </w:tcBorders>
            <w:vAlign w:val="center"/>
          </w:tcPr>
          <w:p>
            <w:pPr>
              <w:jc w:val="center"/>
              <w:rPr>
                <w:rFonts w:ascii="宋体" w:hAnsi="宋体" w:cs="宋体"/>
                <w:color w:val="auto"/>
                <w:highlight w:val="none"/>
              </w:rPr>
            </w:pPr>
          </w:p>
        </w:tc>
        <w:tc>
          <w:tcPr>
            <w:tcW w:w="176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ind w:right="-20"/>
              <w:jc w:val="center"/>
              <w:rPr>
                <w:rFonts w:ascii="宋体" w:hAnsi="宋体" w:cs="微软雅黑"/>
                <w:color w:val="auto"/>
                <w:kern w:val="0"/>
                <w:position w:val="-1"/>
                <w:szCs w:val="21"/>
                <w:highlight w:val="none"/>
              </w:rPr>
            </w:pPr>
          </w:p>
        </w:tc>
        <w:tc>
          <w:tcPr>
            <w:tcW w:w="1444"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jc w:val="left"/>
              <w:rPr>
                <w:rFonts w:ascii="宋体" w:hAnsi="宋体"/>
                <w:color w:val="auto"/>
                <w:kern w:val="0"/>
                <w:szCs w:val="21"/>
                <w:highlight w:val="none"/>
              </w:rPr>
            </w:pPr>
          </w:p>
        </w:tc>
        <w:tc>
          <w:tcPr>
            <w:tcW w:w="581"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jc w:val="left"/>
              <w:rPr>
                <w:rFonts w:ascii="宋体" w:hAnsi="宋体"/>
                <w:color w:val="auto"/>
                <w:kern w:val="0"/>
                <w:szCs w:val="21"/>
                <w:highlight w:val="none"/>
              </w:rPr>
            </w:pPr>
          </w:p>
        </w:tc>
        <w:tc>
          <w:tcPr>
            <w:tcW w:w="60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jc w:val="center"/>
              <w:rPr>
                <w:rFonts w:ascii="宋体" w:hAnsi="宋体"/>
                <w:color w:val="auto"/>
                <w:kern w:val="0"/>
                <w:szCs w:val="21"/>
                <w:highlight w:val="none"/>
              </w:rPr>
            </w:pPr>
          </w:p>
        </w:tc>
        <w:tc>
          <w:tcPr>
            <w:tcW w:w="180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jc w:val="left"/>
              <w:rPr>
                <w:rFonts w:ascii="宋体" w:hAnsi="宋体"/>
                <w:color w:val="auto"/>
                <w:kern w:val="0"/>
                <w:szCs w:val="21"/>
                <w:highlight w:val="none"/>
              </w:rPr>
            </w:pPr>
          </w:p>
        </w:tc>
        <w:tc>
          <w:tcPr>
            <w:tcW w:w="221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jc w:val="left"/>
              <w:rPr>
                <w:rFonts w:ascii="宋体" w:hAnsi="宋体"/>
                <w:color w:val="auto"/>
                <w:kern w:val="0"/>
                <w:szCs w:val="21"/>
                <w:highlight w:val="none"/>
              </w:rPr>
            </w:pPr>
          </w:p>
        </w:tc>
        <w:tc>
          <w:tcPr>
            <w:tcW w:w="600" w:type="dxa"/>
            <w:tcBorders>
              <w:top w:val="single" w:color="auto" w:sz="6" w:space="0"/>
              <w:left w:val="single" w:color="auto" w:sz="6" w:space="0"/>
              <w:bottom w:val="single" w:color="auto" w:sz="6" w:space="0"/>
              <w:right w:val="double" w:color="auto" w:sz="4" w:space="0"/>
            </w:tcBorders>
          </w:tcPr>
          <w:p>
            <w:pPr>
              <w:autoSpaceDE w:val="0"/>
              <w:autoSpaceDN w:val="0"/>
              <w:adjustRightInd w:val="0"/>
              <w:snapToGrid w:val="0"/>
              <w:jc w:val="left"/>
              <w:rPr>
                <w:rFonts w:ascii="宋体" w:hAnsi="宋体"/>
                <w:color w:val="auto"/>
                <w:kern w:val="0"/>
                <w:szCs w:val="21"/>
                <w:highlight w:val="none"/>
              </w:rPr>
            </w:pPr>
          </w:p>
        </w:tc>
      </w:tr>
      <w:tr>
        <w:tblPrEx>
          <w:tblCellMar>
            <w:top w:w="0" w:type="dxa"/>
            <w:left w:w="0" w:type="dxa"/>
            <w:bottom w:w="0" w:type="dxa"/>
            <w:right w:w="0" w:type="dxa"/>
          </w:tblCellMar>
        </w:tblPrEx>
        <w:trPr>
          <w:trHeight w:val="677" w:hRule="atLeast"/>
        </w:trPr>
        <w:tc>
          <w:tcPr>
            <w:tcW w:w="6647" w:type="dxa"/>
            <w:gridSpan w:val="6"/>
            <w:tcBorders>
              <w:top w:val="single" w:color="auto" w:sz="6" w:space="0"/>
              <w:left w:val="double" w:color="auto" w:sz="4" w:space="0"/>
              <w:bottom w:val="double" w:color="auto" w:sz="4" w:space="0"/>
              <w:right w:val="single" w:color="auto" w:sz="6" w:space="0"/>
            </w:tcBorders>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微软雅黑"/>
                <w:color w:val="auto"/>
                <w:kern w:val="0"/>
                <w:position w:val="-1"/>
                <w:szCs w:val="21"/>
                <w:highlight w:val="none"/>
              </w:rPr>
              <w:t>报价（元）：</w:t>
            </w:r>
          </w:p>
        </w:tc>
        <w:tc>
          <w:tcPr>
            <w:tcW w:w="2212" w:type="dxa"/>
            <w:tcBorders>
              <w:top w:val="single" w:color="auto" w:sz="6" w:space="0"/>
              <w:left w:val="single" w:color="auto" w:sz="6" w:space="0"/>
              <w:bottom w:val="double" w:color="auto" w:sz="4" w:space="0"/>
              <w:right w:val="single" w:color="auto" w:sz="6" w:space="0"/>
            </w:tcBorders>
          </w:tcPr>
          <w:p>
            <w:pPr>
              <w:autoSpaceDE w:val="0"/>
              <w:autoSpaceDN w:val="0"/>
              <w:adjustRightInd w:val="0"/>
              <w:snapToGrid w:val="0"/>
              <w:jc w:val="left"/>
              <w:rPr>
                <w:rFonts w:ascii="宋体" w:hAnsi="宋体"/>
                <w:color w:val="auto"/>
                <w:kern w:val="0"/>
                <w:szCs w:val="21"/>
                <w:highlight w:val="none"/>
              </w:rPr>
            </w:pPr>
          </w:p>
        </w:tc>
        <w:tc>
          <w:tcPr>
            <w:tcW w:w="600" w:type="dxa"/>
            <w:tcBorders>
              <w:top w:val="single" w:color="auto" w:sz="6" w:space="0"/>
              <w:left w:val="single" w:color="auto" w:sz="6" w:space="0"/>
              <w:bottom w:val="double" w:color="auto" w:sz="4" w:space="0"/>
              <w:right w:val="double" w:color="auto" w:sz="4" w:space="0"/>
            </w:tcBorders>
          </w:tcPr>
          <w:p>
            <w:pPr>
              <w:autoSpaceDE w:val="0"/>
              <w:autoSpaceDN w:val="0"/>
              <w:adjustRightInd w:val="0"/>
              <w:snapToGrid w:val="0"/>
              <w:jc w:val="left"/>
              <w:rPr>
                <w:rFonts w:ascii="宋体" w:hAnsi="宋体"/>
                <w:color w:val="auto"/>
                <w:kern w:val="0"/>
                <w:szCs w:val="21"/>
                <w:highlight w:val="none"/>
              </w:rPr>
            </w:pPr>
          </w:p>
        </w:tc>
      </w:tr>
    </w:tbl>
    <w:p>
      <w:pPr>
        <w:adjustRightInd w:val="0"/>
        <w:snapToGrid w:val="0"/>
        <w:spacing w:line="360" w:lineRule="auto"/>
        <w:rPr>
          <w:rFonts w:ascii="宋体" w:hAnsi="宋体"/>
          <w:color w:val="auto"/>
          <w:szCs w:val="21"/>
          <w:highlight w:val="none"/>
        </w:rPr>
      </w:pP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备注：（1）供应商如果不提供分项报价明细表，其</w:t>
      </w:r>
      <w:r>
        <w:rPr>
          <w:rFonts w:hint="eastAsia" w:ascii="宋体" w:hAnsi="宋体"/>
          <w:b/>
          <w:color w:val="auto"/>
          <w:szCs w:val="21"/>
          <w:highlight w:val="none"/>
        </w:rPr>
        <w:t>响应无效</w:t>
      </w:r>
      <w:r>
        <w:rPr>
          <w:rFonts w:hint="eastAsia" w:ascii="宋体" w:hAnsi="宋体"/>
          <w:color w:val="auto"/>
          <w:szCs w:val="21"/>
          <w:highlight w:val="none"/>
        </w:rPr>
        <w:t>。</w:t>
      </w:r>
    </w:p>
    <w:p>
      <w:pPr>
        <w:adjustRightInd w:val="0"/>
        <w:snapToGrid w:val="0"/>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（2）不得填写“免费”或“赠与”，也不得进行“零”报价，否则</w:t>
      </w:r>
      <w:r>
        <w:rPr>
          <w:rFonts w:hint="eastAsia" w:ascii="宋体" w:hAnsi="宋体"/>
          <w:b/>
          <w:color w:val="auto"/>
          <w:szCs w:val="21"/>
          <w:highlight w:val="none"/>
        </w:rPr>
        <w:t>响应无效</w:t>
      </w:r>
      <w:r>
        <w:rPr>
          <w:rFonts w:hint="eastAsia" w:ascii="宋体" w:hAnsi="宋体"/>
          <w:color w:val="auto"/>
          <w:szCs w:val="21"/>
          <w:highlight w:val="none"/>
        </w:rPr>
        <w:t>。</w:t>
      </w:r>
    </w:p>
    <w:p>
      <w:pPr>
        <w:adjustRightInd w:val="0"/>
        <w:snapToGrid w:val="0"/>
        <w:spacing w:line="360" w:lineRule="auto"/>
        <w:ind w:firstLine="422" w:firstLineChars="200"/>
        <w:rPr>
          <w:rFonts w:ascii="宋体" w:hAnsi="宋体"/>
          <w:b/>
          <w:color w:val="auto"/>
          <w:szCs w:val="21"/>
          <w:highlight w:val="none"/>
        </w:rPr>
      </w:pPr>
    </w:p>
    <w:p>
      <w:pPr>
        <w:adjustRightInd w:val="0"/>
        <w:snapToGrid w:val="0"/>
        <w:spacing w:line="360" w:lineRule="auto"/>
        <w:rPr>
          <w:rFonts w:ascii="宋体" w:hAnsi="宋体"/>
          <w:color w:val="auto"/>
          <w:szCs w:val="21"/>
          <w:highlight w:val="none"/>
        </w:rPr>
      </w:pPr>
    </w:p>
    <w:p>
      <w:pPr>
        <w:adjustRightInd w:val="0"/>
        <w:snapToGrid w:val="0"/>
        <w:spacing w:before="120" w:beforeLines="50" w:line="360" w:lineRule="auto"/>
        <w:rPr>
          <w:rFonts w:ascii="宋体" w:hAnsi="宋体" w:cs="Courier New"/>
          <w:color w:val="auto"/>
          <w:szCs w:val="21"/>
          <w:highlight w:val="none"/>
        </w:rPr>
      </w:pPr>
      <w:bookmarkStart w:id="59" w:name="_Toc22201157"/>
      <w:r>
        <w:rPr>
          <w:rFonts w:hint="eastAsia" w:ascii="宋体" w:hAnsi="宋体" w:cs="Courier New"/>
          <w:color w:val="auto"/>
          <w:szCs w:val="21"/>
          <w:highlight w:val="none"/>
        </w:rPr>
        <w:t>供应商名称(盖单位公章)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pPr>
        <w:adjustRightInd w:val="0"/>
        <w:snapToGrid w:val="0"/>
        <w:spacing w:before="120" w:beforeLines="50" w:line="360" w:lineRule="auto"/>
        <w:rPr>
          <w:rFonts w:ascii="宋体" w:hAnsi="宋体"/>
          <w:color w:val="auto"/>
          <w:szCs w:val="21"/>
          <w:highlight w:val="none"/>
          <w:u w:val="single"/>
        </w:rPr>
      </w:pPr>
      <w:r>
        <w:rPr>
          <w:rFonts w:hint="eastAsia" w:ascii="宋体" w:hAnsi="宋体" w:cs="微软雅黑"/>
          <w:color w:val="auto"/>
          <w:spacing w:val="-2"/>
          <w:kern w:val="0"/>
          <w:szCs w:val="21"/>
          <w:highlight w:val="none"/>
        </w:rPr>
        <w:t>法</w:t>
      </w:r>
      <w:r>
        <w:rPr>
          <w:rFonts w:hint="eastAsia" w:ascii="宋体" w:hAnsi="宋体" w:cs="微软雅黑"/>
          <w:color w:val="auto"/>
          <w:kern w:val="0"/>
          <w:szCs w:val="21"/>
          <w:highlight w:val="none"/>
        </w:rPr>
        <w:t>定</w:t>
      </w:r>
      <w:r>
        <w:rPr>
          <w:rFonts w:hint="eastAsia" w:ascii="宋体" w:hAnsi="宋体" w:cs="微软雅黑"/>
          <w:color w:val="auto"/>
          <w:spacing w:val="-2"/>
          <w:kern w:val="0"/>
          <w:szCs w:val="21"/>
          <w:highlight w:val="none"/>
        </w:rPr>
        <w:t>代</w:t>
      </w:r>
      <w:r>
        <w:rPr>
          <w:rFonts w:hint="eastAsia" w:ascii="宋体" w:hAnsi="宋体" w:cs="微软雅黑"/>
          <w:color w:val="auto"/>
          <w:kern w:val="0"/>
          <w:szCs w:val="21"/>
          <w:highlight w:val="none"/>
        </w:rPr>
        <w:t>表</w:t>
      </w:r>
      <w:r>
        <w:rPr>
          <w:rFonts w:hint="eastAsia" w:ascii="宋体" w:hAnsi="宋体" w:cs="微软雅黑"/>
          <w:color w:val="auto"/>
          <w:spacing w:val="-2"/>
          <w:kern w:val="0"/>
          <w:szCs w:val="21"/>
          <w:highlight w:val="none"/>
        </w:rPr>
        <w:t>人</w:t>
      </w:r>
      <w:r>
        <w:rPr>
          <w:rFonts w:hint="eastAsia" w:ascii="宋体" w:hAnsi="宋体" w:cs="微软雅黑"/>
          <w:color w:val="auto"/>
          <w:kern w:val="0"/>
          <w:szCs w:val="21"/>
          <w:highlight w:val="none"/>
        </w:rPr>
        <w:t>（</w:t>
      </w:r>
      <w:r>
        <w:rPr>
          <w:rFonts w:hint="eastAsia" w:ascii="宋体" w:hAnsi="宋体" w:cs="微软雅黑"/>
          <w:color w:val="auto"/>
          <w:spacing w:val="-2"/>
          <w:kern w:val="0"/>
          <w:szCs w:val="21"/>
          <w:highlight w:val="none"/>
        </w:rPr>
        <w:t>单</w:t>
      </w:r>
      <w:r>
        <w:rPr>
          <w:rFonts w:hint="eastAsia" w:ascii="宋体" w:hAnsi="宋体" w:cs="微软雅黑"/>
          <w:color w:val="auto"/>
          <w:kern w:val="0"/>
          <w:szCs w:val="21"/>
          <w:highlight w:val="none"/>
        </w:rPr>
        <w:t>位</w:t>
      </w:r>
      <w:r>
        <w:rPr>
          <w:rFonts w:hint="eastAsia" w:ascii="宋体" w:hAnsi="宋体" w:cs="微软雅黑"/>
          <w:color w:val="auto"/>
          <w:spacing w:val="-2"/>
          <w:kern w:val="0"/>
          <w:szCs w:val="21"/>
          <w:highlight w:val="none"/>
        </w:rPr>
        <w:t>负</w:t>
      </w:r>
      <w:r>
        <w:rPr>
          <w:rFonts w:hint="eastAsia" w:ascii="宋体" w:hAnsi="宋体" w:cs="微软雅黑"/>
          <w:color w:val="auto"/>
          <w:kern w:val="0"/>
          <w:szCs w:val="21"/>
          <w:highlight w:val="none"/>
        </w:rPr>
        <w:t>责人</w:t>
      </w:r>
      <w:r>
        <w:rPr>
          <w:rFonts w:hint="eastAsia" w:ascii="宋体" w:hAnsi="宋体" w:cs="微软雅黑"/>
          <w:color w:val="auto"/>
          <w:spacing w:val="-2"/>
          <w:kern w:val="0"/>
          <w:szCs w:val="21"/>
          <w:highlight w:val="none"/>
        </w:rPr>
        <w:t>）</w:t>
      </w:r>
      <w:r>
        <w:rPr>
          <w:rFonts w:hint="eastAsia" w:ascii="宋体" w:hAnsi="宋体"/>
          <w:color w:val="auto"/>
          <w:szCs w:val="21"/>
          <w:highlight w:val="none"/>
        </w:rPr>
        <w:t>或其授权的代理人（签字或印章）：</w:t>
      </w:r>
      <w:r>
        <w:rPr>
          <w:rFonts w:hint="eastAsia" w:ascii="宋体" w:hAnsi="宋体"/>
          <w:color w:val="auto"/>
          <w:szCs w:val="21"/>
          <w:highlight w:val="none"/>
          <w:u w:val="single"/>
        </w:rPr>
        <w:t xml:space="preserve">               </w:t>
      </w:r>
    </w:p>
    <w:p>
      <w:pPr>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pStyle w:val="3"/>
        <w:jc w:val="center"/>
        <w:rPr>
          <w:rFonts w:ascii="宋体" w:hAnsi="宋体"/>
          <w:color w:val="auto"/>
          <w:szCs w:val="21"/>
          <w:highlight w:val="none"/>
        </w:rPr>
      </w:pPr>
    </w:p>
    <w:p>
      <w:pPr>
        <w:rPr>
          <w:rFonts w:ascii="宋体" w:hAnsi="宋体"/>
          <w:color w:val="auto"/>
          <w:sz w:val="28"/>
          <w:szCs w:val="28"/>
          <w:highlight w:val="none"/>
        </w:rPr>
      </w:pPr>
      <w:bookmarkStart w:id="60" w:name="_Toc106890537"/>
      <w:r>
        <w:rPr>
          <w:rFonts w:hint="eastAsia" w:ascii="宋体" w:hAnsi="宋体"/>
          <w:color w:val="auto"/>
          <w:sz w:val="28"/>
          <w:szCs w:val="28"/>
          <w:highlight w:val="none"/>
        </w:rPr>
        <w:br w:type="page"/>
      </w:r>
    </w:p>
    <w:bookmarkEnd w:id="59"/>
    <w:bookmarkEnd w:id="60"/>
    <w:p>
      <w:pPr>
        <w:pStyle w:val="3"/>
        <w:numPr>
          <w:ilvl w:val="0"/>
          <w:numId w:val="5"/>
        </w:numPr>
        <w:jc w:val="center"/>
        <w:rPr>
          <w:rFonts w:ascii="宋体" w:hAnsi="宋体"/>
          <w:color w:val="auto"/>
          <w:sz w:val="28"/>
          <w:szCs w:val="28"/>
          <w:highlight w:val="none"/>
        </w:rPr>
      </w:pPr>
      <w:r>
        <w:rPr>
          <w:rFonts w:hint="eastAsia" w:ascii="宋体" w:hAnsi="宋体"/>
          <w:color w:val="auto"/>
          <w:sz w:val="28"/>
          <w:szCs w:val="28"/>
          <w:highlight w:val="none"/>
        </w:rPr>
        <w:t>供应商的资格证明材料</w:t>
      </w: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说明：</w:t>
      </w:r>
    </w:p>
    <w:p>
      <w:pPr>
        <w:numPr>
          <w:ilvl w:val="0"/>
          <w:numId w:val="6"/>
        </w:num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根据磋商文件第二章“磋商须知”提供供应商资格证明文件（投标人为法人的，应提交营业执照或法人登记证书的复印件；投标人为非法人组织的，应提交依法登记证书复印件；投标人为个体工商户的，应提交个体工商户营业执照复印件；投标人为自然人的，应提交自然人的身份证明复印件）。</w:t>
      </w:r>
    </w:p>
    <w:p>
      <w:pPr>
        <w:numPr>
          <w:ilvl w:val="0"/>
          <w:numId w:val="6"/>
        </w:num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根据磋商文件第五章“评分标准及办法”商务部分需要提供的相关证明文件复印件。</w:t>
      </w:r>
    </w:p>
    <w:p>
      <w:pPr>
        <w:adjustRightInd w:val="0"/>
        <w:snapToGrid w:val="0"/>
        <w:spacing w:line="360" w:lineRule="auto"/>
        <w:rPr>
          <w:rFonts w:ascii="宋体" w:hAnsi="宋体"/>
          <w:color w:val="auto"/>
          <w:szCs w:val="21"/>
          <w:highlight w:val="none"/>
        </w:rPr>
      </w:pPr>
    </w:p>
    <w:p>
      <w:pPr>
        <w:rPr>
          <w:rFonts w:ascii="宋体" w:hAnsi="宋体"/>
          <w:color w:val="auto"/>
          <w:szCs w:val="21"/>
          <w:highlight w:val="none"/>
          <w:u w:val="single"/>
        </w:rPr>
      </w:pPr>
      <w:bookmarkStart w:id="61" w:name="_Toc22201158"/>
      <w:r>
        <w:rPr>
          <w:rFonts w:hint="eastAsia" w:ascii="宋体" w:hAnsi="宋体"/>
          <w:color w:val="auto"/>
          <w:szCs w:val="21"/>
          <w:highlight w:val="none"/>
          <w:u w:val="single"/>
        </w:rPr>
        <w:br w:type="page"/>
      </w:r>
    </w:p>
    <w:bookmarkEnd w:id="61"/>
    <w:p>
      <w:pPr>
        <w:pStyle w:val="3"/>
        <w:jc w:val="center"/>
        <w:rPr>
          <w:rFonts w:ascii="宋体" w:hAnsi="宋体"/>
          <w:color w:val="auto"/>
          <w:sz w:val="28"/>
          <w:szCs w:val="28"/>
          <w:highlight w:val="none"/>
        </w:rPr>
      </w:pPr>
      <w:bookmarkStart w:id="62" w:name="_Toc22201160"/>
      <w:bookmarkStart w:id="63" w:name="_Toc106890540"/>
      <w:bookmarkStart w:id="64" w:name="_Toc38613416"/>
      <w:bookmarkStart w:id="65" w:name="_Toc22201161"/>
      <w:r>
        <w:rPr>
          <w:rFonts w:hint="eastAsia" w:ascii="黑体"/>
          <w:color w:val="auto"/>
          <w:sz w:val="28"/>
          <w:szCs w:val="28"/>
          <w:highlight w:val="none"/>
        </w:rPr>
        <w:t>六、</w:t>
      </w:r>
      <w:r>
        <w:rPr>
          <w:rFonts w:hint="eastAsia" w:ascii="宋体" w:hAnsi="宋体"/>
          <w:color w:val="auto"/>
          <w:sz w:val="28"/>
          <w:szCs w:val="28"/>
          <w:highlight w:val="none"/>
        </w:rPr>
        <w:t>采购需求的响应</w:t>
      </w:r>
    </w:p>
    <w:p>
      <w:pPr>
        <w:adjustRightInd w:val="0"/>
        <w:snapToGrid w:val="0"/>
        <w:spacing w:line="360" w:lineRule="auto"/>
        <w:rPr>
          <w:rFonts w:ascii="宋体" w:hAnsi="宋体"/>
          <w:b/>
          <w:color w:val="auto"/>
          <w:szCs w:val="21"/>
          <w:highlight w:val="none"/>
        </w:rPr>
      </w:pPr>
    </w:p>
    <w:p>
      <w:pPr>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说明：供应商应按磋商文件第三章采购需求自行编写采购需求响应文件（其内容可包括，且不限于详细的技术指标和性能、技术方案等，格式自拟）。</w:t>
      </w:r>
    </w:p>
    <w:p>
      <w:pPr>
        <w:rPr>
          <w:rFonts w:ascii="黑体"/>
          <w:color w:val="auto"/>
          <w:sz w:val="28"/>
          <w:szCs w:val="28"/>
          <w:highlight w:val="none"/>
        </w:rPr>
      </w:pPr>
      <w:r>
        <w:rPr>
          <w:rFonts w:hint="eastAsia" w:ascii="黑体"/>
          <w:color w:val="auto"/>
          <w:sz w:val="28"/>
          <w:szCs w:val="28"/>
          <w:highlight w:val="none"/>
        </w:rPr>
        <w:br w:type="page"/>
      </w:r>
    </w:p>
    <w:p>
      <w:pPr>
        <w:pStyle w:val="3"/>
        <w:jc w:val="center"/>
        <w:rPr>
          <w:rFonts w:ascii="黑体"/>
          <w:color w:val="auto"/>
          <w:sz w:val="28"/>
          <w:szCs w:val="28"/>
          <w:highlight w:val="none"/>
        </w:rPr>
      </w:pPr>
      <w:r>
        <w:rPr>
          <w:rFonts w:hint="eastAsia" w:ascii="黑体"/>
          <w:color w:val="auto"/>
          <w:sz w:val="28"/>
          <w:szCs w:val="28"/>
          <w:highlight w:val="none"/>
        </w:rPr>
        <w:t>七、采购需求偏离表</w:t>
      </w:r>
      <w:bookmarkEnd w:id="62"/>
      <w:bookmarkEnd w:id="63"/>
      <w:bookmarkEnd w:id="64"/>
    </w:p>
    <w:p>
      <w:pPr>
        <w:adjustRightInd w:val="0"/>
        <w:snapToGrid w:val="0"/>
        <w:spacing w:before="120" w:beforeLines="50" w:line="360" w:lineRule="auto"/>
        <w:rPr>
          <w:rFonts w:ascii="宋体" w:hAnsi="宋体"/>
          <w:color w:val="auto"/>
          <w:szCs w:val="21"/>
          <w:highlight w:val="none"/>
          <w:u w:val="single"/>
        </w:rPr>
      </w:pP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tbl>
      <w:tblPr>
        <w:tblStyle w:val="37"/>
        <w:tblW w:w="901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737"/>
        <w:gridCol w:w="2410"/>
        <w:gridCol w:w="1985"/>
        <w:gridCol w:w="2126"/>
        <w:gridCol w:w="175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737" w:type="dxa"/>
            <w:vAlign w:val="center"/>
          </w:tcPr>
          <w:p>
            <w:pPr>
              <w:adjustRightInd w:val="0"/>
              <w:snapToGrid w:val="0"/>
              <w:spacing w:before="50" w:line="360" w:lineRule="auto"/>
              <w:ind w:left="-88" w:leftChars="-42"/>
              <w:jc w:val="center"/>
              <w:rPr>
                <w:rFonts w:ascii="宋体" w:hAnsi="宋体"/>
                <w:color w:val="auto"/>
                <w:szCs w:val="21"/>
                <w:highlight w:val="none"/>
              </w:rPr>
            </w:pPr>
            <w:r>
              <w:rPr>
                <w:rFonts w:hint="eastAsia" w:ascii="宋体" w:hAnsi="宋体"/>
                <w:bCs/>
                <w:color w:val="auto"/>
                <w:szCs w:val="21"/>
                <w:highlight w:val="none"/>
              </w:rPr>
              <w:t>序</w:t>
            </w:r>
            <w:r>
              <w:rPr>
                <w:rFonts w:hint="eastAsia" w:ascii="宋体" w:hAnsi="宋体"/>
                <w:color w:val="auto"/>
                <w:szCs w:val="21"/>
                <w:highlight w:val="none"/>
              </w:rPr>
              <w:t>号</w:t>
            </w:r>
          </w:p>
        </w:tc>
        <w:tc>
          <w:tcPr>
            <w:tcW w:w="2410" w:type="dxa"/>
            <w:vAlign w:val="center"/>
          </w:tcPr>
          <w:p>
            <w:pPr>
              <w:adjustRightInd w:val="0"/>
              <w:snapToGrid w:val="0"/>
              <w:spacing w:before="50" w:line="360" w:lineRule="auto"/>
              <w:ind w:left="-88" w:leftChars="-42"/>
              <w:jc w:val="center"/>
              <w:rPr>
                <w:rFonts w:ascii="宋体" w:hAnsi="宋体"/>
                <w:color w:val="auto"/>
                <w:szCs w:val="21"/>
                <w:highlight w:val="none"/>
              </w:rPr>
            </w:pPr>
            <w:r>
              <w:rPr>
                <w:rFonts w:hint="eastAsia" w:ascii="宋体" w:hAnsi="宋体"/>
                <w:color w:val="auto"/>
                <w:szCs w:val="21"/>
                <w:highlight w:val="none"/>
              </w:rPr>
              <w:t>磋商文件章节</w:t>
            </w:r>
            <w:r>
              <w:rPr>
                <w:rFonts w:hint="eastAsia" w:ascii="宋体" w:hAnsi="宋体"/>
                <w:bCs/>
                <w:color w:val="auto"/>
                <w:szCs w:val="21"/>
                <w:highlight w:val="none"/>
              </w:rPr>
              <w:t>条</w:t>
            </w:r>
            <w:r>
              <w:rPr>
                <w:rFonts w:hint="eastAsia" w:ascii="宋体" w:hAnsi="宋体"/>
                <w:color w:val="auto"/>
                <w:szCs w:val="21"/>
                <w:highlight w:val="none"/>
              </w:rPr>
              <w:t>款号</w:t>
            </w:r>
          </w:p>
        </w:tc>
        <w:tc>
          <w:tcPr>
            <w:tcW w:w="1985" w:type="dxa"/>
            <w:tcBorders>
              <w:right w:val="single" w:color="auto" w:sz="4" w:space="0"/>
            </w:tcBorders>
          </w:tcPr>
          <w:p>
            <w:pPr>
              <w:adjustRightInd w:val="0"/>
              <w:snapToGrid w:val="0"/>
              <w:spacing w:before="50" w:line="360" w:lineRule="auto"/>
              <w:jc w:val="center"/>
              <w:rPr>
                <w:color w:val="auto"/>
                <w:highlight w:val="none"/>
              </w:rPr>
            </w:pPr>
            <w:r>
              <w:rPr>
                <w:rFonts w:hint="eastAsia" w:ascii="宋体" w:hAnsi="宋体"/>
                <w:color w:val="auto"/>
                <w:szCs w:val="21"/>
                <w:highlight w:val="none"/>
              </w:rPr>
              <w:t>磋商</w:t>
            </w:r>
            <w:r>
              <w:rPr>
                <w:rFonts w:hint="eastAsia"/>
                <w:color w:val="auto"/>
                <w:highlight w:val="none"/>
              </w:rPr>
              <w:t>文件要求</w:t>
            </w:r>
          </w:p>
        </w:tc>
        <w:tc>
          <w:tcPr>
            <w:tcW w:w="2126" w:type="dxa"/>
            <w:tcBorders>
              <w:left w:val="single" w:color="auto" w:sz="4" w:space="0"/>
            </w:tcBorders>
          </w:tcPr>
          <w:p>
            <w:pPr>
              <w:adjustRightInd w:val="0"/>
              <w:snapToGrid w:val="0"/>
              <w:spacing w:before="50" w:line="360" w:lineRule="auto"/>
              <w:jc w:val="center"/>
              <w:rPr>
                <w:color w:val="auto"/>
                <w:highlight w:val="none"/>
              </w:rPr>
            </w:pPr>
            <w:r>
              <w:rPr>
                <w:rFonts w:hint="eastAsia" w:ascii="宋体" w:hAnsi="宋体"/>
                <w:color w:val="auto"/>
                <w:szCs w:val="21"/>
                <w:highlight w:val="none"/>
              </w:rPr>
              <w:t>响应</w:t>
            </w:r>
            <w:r>
              <w:rPr>
                <w:rFonts w:hint="eastAsia"/>
                <w:color w:val="auto"/>
                <w:highlight w:val="none"/>
              </w:rPr>
              <w:t>文件应答</w:t>
            </w:r>
          </w:p>
        </w:tc>
        <w:tc>
          <w:tcPr>
            <w:tcW w:w="1756" w:type="dxa"/>
            <w:vAlign w:val="center"/>
          </w:tcPr>
          <w:p>
            <w:pPr>
              <w:adjustRightInd w:val="0"/>
              <w:snapToGrid w:val="0"/>
              <w:spacing w:before="50" w:line="360" w:lineRule="auto"/>
              <w:ind w:left="-88" w:leftChars="-42"/>
              <w:jc w:val="center"/>
              <w:rPr>
                <w:rFonts w:ascii="宋体" w:hAnsi="宋体"/>
                <w:color w:val="auto"/>
                <w:szCs w:val="21"/>
                <w:highlight w:val="none"/>
              </w:rPr>
            </w:pPr>
            <w:r>
              <w:rPr>
                <w:rFonts w:hint="eastAsia" w:ascii="宋体" w:hAnsi="宋体"/>
                <w:color w:val="auto"/>
                <w:szCs w:val="21"/>
                <w:highlight w:val="none"/>
              </w:rPr>
              <w:t>偏离说明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pPr>
              <w:adjustRightInd w:val="0"/>
              <w:snapToGrid w:val="0"/>
              <w:spacing w:before="50" w:line="360" w:lineRule="auto"/>
              <w:ind w:left="-88" w:leftChars="-42"/>
              <w:jc w:val="center"/>
              <w:rPr>
                <w:rFonts w:ascii="宋体" w:hAnsi="宋体"/>
                <w:color w:val="auto"/>
                <w:szCs w:val="21"/>
                <w:highlight w:val="none"/>
              </w:rPr>
            </w:pPr>
          </w:p>
        </w:tc>
        <w:tc>
          <w:tcPr>
            <w:tcW w:w="2410" w:type="dxa"/>
            <w:vAlign w:val="center"/>
          </w:tcPr>
          <w:p>
            <w:pPr>
              <w:adjustRightInd w:val="0"/>
              <w:snapToGrid w:val="0"/>
              <w:spacing w:before="50" w:line="360" w:lineRule="auto"/>
              <w:ind w:left="-88" w:leftChars="-42"/>
              <w:jc w:val="center"/>
              <w:rPr>
                <w:rFonts w:ascii="宋体" w:hAnsi="宋体"/>
                <w:color w:val="auto"/>
                <w:szCs w:val="21"/>
                <w:highlight w:val="none"/>
              </w:rPr>
            </w:pPr>
          </w:p>
        </w:tc>
        <w:tc>
          <w:tcPr>
            <w:tcW w:w="1985" w:type="dxa"/>
            <w:tcBorders>
              <w:right w:val="single" w:color="auto" w:sz="4" w:space="0"/>
            </w:tcBorders>
            <w:vAlign w:val="center"/>
          </w:tcPr>
          <w:p>
            <w:pPr>
              <w:adjustRightInd w:val="0"/>
              <w:snapToGrid w:val="0"/>
              <w:spacing w:before="50" w:line="360" w:lineRule="auto"/>
              <w:ind w:left="-88" w:leftChars="-42"/>
              <w:jc w:val="center"/>
              <w:rPr>
                <w:rFonts w:ascii="宋体" w:hAnsi="宋体"/>
                <w:color w:val="auto"/>
                <w:szCs w:val="21"/>
                <w:highlight w:val="none"/>
              </w:rPr>
            </w:pPr>
          </w:p>
        </w:tc>
        <w:tc>
          <w:tcPr>
            <w:tcW w:w="2126" w:type="dxa"/>
            <w:tcBorders>
              <w:left w:val="single" w:color="auto" w:sz="4" w:space="0"/>
            </w:tcBorders>
            <w:vAlign w:val="center"/>
          </w:tcPr>
          <w:p>
            <w:pPr>
              <w:adjustRightInd w:val="0"/>
              <w:snapToGrid w:val="0"/>
              <w:spacing w:before="50" w:line="360" w:lineRule="auto"/>
              <w:ind w:left="-88" w:leftChars="-42"/>
              <w:jc w:val="center"/>
              <w:rPr>
                <w:rFonts w:ascii="宋体" w:hAnsi="宋体"/>
                <w:color w:val="auto"/>
                <w:szCs w:val="21"/>
                <w:highlight w:val="none"/>
              </w:rPr>
            </w:pPr>
          </w:p>
        </w:tc>
        <w:tc>
          <w:tcPr>
            <w:tcW w:w="1756" w:type="dxa"/>
            <w:vAlign w:val="center"/>
          </w:tcPr>
          <w:p>
            <w:pPr>
              <w:adjustRightInd w:val="0"/>
              <w:snapToGrid w:val="0"/>
              <w:spacing w:before="50" w:line="360" w:lineRule="auto"/>
              <w:ind w:left="-88" w:leftChars="-42"/>
              <w:jc w:val="center"/>
              <w:rPr>
                <w:rFonts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pPr>
              <w:adjustRightInd w:val="0"/>
              <w:snapToGrid w:val="0"/>
              <w:spacing w:before="50" w:line="360" w:lineRule="auto"/>
              <w:ind w:left="-88" w:leftChars="-42"/>
              <w:jc w:val="center"/>
              <w:rPr>
                <w:rFonts w:ascii="宋体" w:hAnsi="宋体"/>
                <w:color w:val="auto"/>
                <w:szCs w:val="21"/>
                <w:highlight w:val="none"/>
              </w:rPr>
            </w:pPr>
          </w:p>
        </w:tc>
        <w:tc>
          <w:tcPr>
            <w:tcW w:w="2410" w:type="dxa"/>
            <w:vAlign w:val="center"/>
          </w:tcPr>
          <w:p>
            <w:pPr>
              <w:adjustRightInd w:val="0"/>
              <w:snapToGrid w:val="0"/>
              <w:spacing w:before="50" w:line="360" w:lineRule="auto"/>
              <w:ind w:left="-88" w:leftChars="-42"/>
              <w:jc w:val="center"/>
              <w:rPr>
                <w:rFonts w:ascii="宋体" w:hAnsi="宋体"/>
                <w:color w:val="auto"/>
                <w:szCs w:val="21"/>
                <w:highlight w:val="none"/>
              </w:rPr>
            </w:pPr>
          </w:p>
        </w:tc>
        <w:tc>
          <w:tcPr>
            <w:tcW w:w="1985" w:type="dxa"/>
            <w:tcBorders>
              <w:right w:val="single" w:color="auto" w:sz="4" w:space="0"/>
            </w:tcBorders>
            <w:vAlign w:val="center"/>
          </w:tcPr>
          <w:p>
            <w:pPr>
              <w:adjustRightInd w:val="0"/>
              <w:snapToGrid w:val="0"/>
              <w:spacing w:before="50" w:line="360" w:lineRule="auto"/>
              <w:ind w:left="-88" w:leftChars="-42"/>
              <w:jc w:val="center"/>
              <w:rPr>
                <w:rFonts w:ascii="宋体" w:hAnsi="宋体"/>
                <w:color w:val="auto"/>
                <w:szCs w:val="21"/>
                <w:highlight w:val="none"/>
              </w:rPr>
            </w:pPr>
          </w:p>
        </w:tc>
        <w:tc>
          <w:tcPr>
            <w:tcW w:w="2126" w:type="dxa"/>
            <w:tcBorders>
              <w:left w:val="single" w:color="auto" w:sz="4" w:space="0"/>
            </w:tcBorders>
            <w:vAlign w:val="center"/>
          </w:tcPr>
          <w:p>
            <w:pPr>
              <w:adjustRightInd w:val="0"/>
              <w:snapToGrid w:val="0"/>
              <w:spacing w:before="50" w:line="360" w:lineRule="auto"/>
              <w:ind w:left="-88" w:leftChars="-42"/>
              <w:jc w:val="center"/>
              <w:rPr>
                <w:rFonts w:ascii="宋体" w:hAnsi="宋体"/>
                <w:color w:val="auto"/>
                <w:szCs w:val="21"/>
                <w:highlight w:val="none"/>
              </w:rPr>
            </w:pPr>
          </w:p>
        </w:tc>
        <w:tc>
          <w:tcPr>
            <w:tcW w:w="1756" w:type="dxa"/>
            <w:vAlign w:val="center"/>
          </w:tcPr>
          <w:p>
            <w:pPr>
              <w:adjustRightInd w:val="0"/>
              <w:snapToGrid w:val="0"/>
              <w:spacing w:before="50" w:line="360" w:lineRule="auto"/>
              <w:ind w:left="-88" w:leftChars="-42"/>
              <w:jc w:val="center"/>
              <w:rPr>
                <w:rFonts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pPr>
              <w:adjustRightInd w:val="0"/>
              <w:snapToGrid w:val="0"/>
              <w:spacing w:before="50" w:line="360" w:lineRule="auto"/>
              <w:ind w:left="-88" w:leftChars="-42"/>
              <w:jc w:val="center"/>
              <w:rPr>
                <w:rFonts w:ascii="宋体" w:hAnsi="宋体"/>
                <w:color w:val="auto"/>
                <w:szCs w:val="21"/>
                <w:highlight w:val="none"/>
              </w:rPr>
            </w:pPr>
          </w:p>
        </w:tc>
        <w:tc>
          <w:tcPr>
            <w:tcW w:w="2410" w:type="dxa"/>
            <w:vAlign w:val="center"/>
          </w:tcPr>
          <w:p>
            <w:pPr>
              <w:adjustRightInd w:val="0"/>
              <w:snapToGrid w:val="0"/>
              <w:spacing w:before="50" w:line="360" w:lineRule="auto"/>
              <w:ind w:left="-88" w:leftChars="-42"/>
              <w:jc w:val="center"/>
              <w:rPr>
                <w:rFonts w:ascii="宋体" w:hAnsi="宋体"/>
                <w:color w:val="auto"/>
                <w:szCs w:val="21"/>
                <w:highlight w:val="none"/>
              </w:rPr>
            </w:pPr>
          </w:p>
        </w:tc>
        <w:tc>
          <w:tcPr>
            <w:tcW w:w="1985" w:type="dxa"/>
            <w:tcBorders>
              <w:right w:val="single" w:color="auto" w:sz="4" w:space="0"/>
            </w:tcBorders>
            <w:vAlign w:val="center"/>
          </w:tcPr>
          <w:p>
            <w:pPr>
              <w:adjustRightInd w:val="0"/>
              <w:snapToGrid w:val="0"/>
              <w:spacing w:before="50" w:line="360" w:lineRule="auto"/>
              <w:ind w:left="-88" w:leftChars="-42"/>
              <w:jc w:val="center"/>
              <w:rPr>
                <w:rFonts w:ascii="宋体" w:hAnsi="宋体"/>
                <w:color w:val="auto"/>
                <w:szCs w:val="21"/>
                <w:highlight w:val="none"/>
              </w:rPr>
            </w:pPr>
          </w:p>
        </w:tc>
        <w:tc>
          <w:tcPr>
            <w:tcW w:w="2126" w:type="dxa"/>
            <w:tcBorders>
              <w:left w:val="single" w:color="auto" w:sz="4" w:space="0"/>
            </w:tcBorders>
            <w:vAlign w:val="center"/>
          </w:tcPr>
          <w:p>
            <w:pPr>
              <w:adjustRightInd w:val="0"/>
              <w:snapToGrid w:val="0"/>
              <w:spacing w:before="50" w:line="360" w:lineRule="auto"/>
              <w:ind w:left="-88" w:leftChars="-42"/>
              <w:jc w:val="center"/>
              <w:rPr>
                <w:rFonts w:ascii="宋体" w:hAnsi="宋体"/>
                <w:color w:val="auto"/>
                <w:szCs w:val="21"/>
                <w:highlight w:val="none"/>
              </w:rPr>
            </w:pPr>
          </w:p>
        </w:tc>
        <w:tc>
          <w:tcPr>
            <w:tcW w:w="1756" w:type="dxa"/>
            <w:vAlign w:val="center"/>
          </w:tcPr>
          <w:p>
            <w:pPr>
              <w:adjustRightInd w:val="0"/>
              <w:snapToGrid w:val="0"/>
              <w:spacing w:before="50" w:line="360" w:lineRule="auto"/>
              <w:ind w:left="-88" w:leftChars="-42"/>
              <w:jc w:val="center"/>
              <w:rPr>
                <w:rFonts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pPr>
              <w:adjustRightInd w:val="0"/>
              <w:snapToGrid w:val="0"/>
              <w:spacing w:before="50" w:line="360" w:lineRule="auto"/>
              <w:ind w:left="-88" w:leftChars="-42"/>
              <w:jc w:val="center"/>
              <w:rPr>
                <w:rFonts w:ascii="宋体" w:hAnsi="宋体"/>
                <w:color w:val="auto"/>
                <w:szCs w:val="21"/>
                <w:highlight w:val="none"/>
              </w:rPr>
            </w:pPr>
          </w:p>
        </w:tc>
        <w:tc>
          <w:tcPr>
            <w:tcW w:w="2410" w:type="dxa"/>
            <w:vAlign w:val="center"/>
          </w:tcPr>
          <w:p>
            <w:pPr>
              <w:adjustRightInd w:val="0"/>
              <w:snapToGrid w:val="0"/>
              <w:spacing w:before="50" w:line="360" w:lineRule="auto"/>
              <w:ind w:left="-88" w:leftChars="-42"/>
              <w:jc w:val="center"/>
              <w:rPr>
                <w:rFonts w:ascii="宋体" w:hAnsi="宋体"/>
                <w:color w:val="auto"/>
                <w:szCs w:val="21"/>
                <w:highlight w:val="none"/>
              </w:rPr>
            </w:pPr>
          </w:p>
        </w:tc>
        <w:tc>
          <w:tcPr>
            <w:tcW w:w="1985" w:type="dxa"/>
            <w:tcBorders>
              <w:right w:val="single" w:color="auto" w:sz="4" w:space="0"/>
            </w:tcBorders>
            <w:vAlign w:val="center"/>
          </w:tcPr>
          <w:p>
            <w:pPr>
              <w:adjustRightInd w:val="0"/>
              <w:snapToGrid w:val="0"/>
              <w:spacing w:before="50" w:line="360" w:lineRule="auto"/>
              <w:ind w:left="-88" w:leftChars="-42"/>
              <w:jc w:val="center"/>
              <w:rPr>
                <w:rFonts w:ascii="宋体" w:hAnsi="宋体"/>
                <w:color w:val="auto"/>
                <w:szCs w:val="21"/>
                <w:highlight w:val="none"/>
              </w:rPr>
            </w:pPr>
          </w:p>
        </w:tc>
        <w:tc>
          <w:tcPr>
            <w:tcW w:w="2126" w:type="dxa"/>
            <w:tcBorders>
              <w:left w:val="single" w:color="auto" w:sz="4" w:space="0"/>
            </w:tcBorders>
            <w:vAlign w:val="center"/>
          </w:tcPr>
          <w:p>
            <w:pPr>
              <w:adjustRightInd w:val="0"/>
              <w:snapToGrid w:val="0"/>
              <w:spacing w:before="50" w:line="360" w:lineRule="auto"/>
              <w:ind w:left="-88" w:leftChars="-42"/>
              <w:jc w:val="center"/>
              <w:rPr>
                <w:rFonts w:ascii="宋体" w:hAnsi="宋体"/>
                <w:color w:val="auto"/>
                <w:szCs w:val="21"/>
                <w:highlight w:val="none"/>
              </w:rPr>
            </w:pPr>
          </w:p>
        </w:tc>
        <w:tc>
          <w:tcPr>
            <w:tcW w:w="1756" w:type="dxa"/>
            <w:vAlign w:val="center"/>
          </w:tcPr>
          <w:p>
            <w:pPr>
              <w:adjustRightInd w:val="0"/>
              <w:snapToGrid w:val="0"/>
              <w:spacing w:before="50" w:line="360" w:lineRule="auto"/>
              <w:ind w:left="-88" w:leftChars="-42"/>
              <w:jc w:val="center"/>
              <w:rPr>
                <w:rFonts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pPr>
              <w:adjustRightInd w:val="0"/>
              <w:snapToGrid w:val="0"/>
              <w:spacing w:before="50" w:line="360" w:lineRule="auto"/>
              <w:ind w:left="-88" w:leftChars="-42"/>
              <w:jc w:val="center"/>
              <w:rPr>
                <w:rFonts w:ascii="宋体" w:hAnsi="宋体"/>
                <w:color w:val="auto"/>
                <w:szCs w:val="21"/>
                <w:highlight w:val="none"/>
              </w:rPr>
            </w:pPr>
          </w:p>
        </w:tc>
        <w:tc>
          <w:tcPr>
            <w:tcW w:w="2410" w:type="dxa"/>
            <w:vAlign w:val="center"/>
          </w:tcPr>
          <w:p>
            <w:pPr>
              <w:adjustRightInd w:val="0"/>
              <w:snapToGrid w:val="0"/>
              <w:spacing w:before="50" w:line="360" w:lineRule="auto"/>
              <w:ind w:left="-88" w:leftChars="-42"/>
              <w:jc w:val="center"/>
              <w:rPr>
                <w:rFonts w:ascii="宋体" w:hAnsi="宋体"/>
                <w:color w:val="auto"/>
                <w:szCs w:val="21"/>
                <w:highlight w:val="none"/>
              </w:rPr>
            </w:pPr>
          </w:p>
        </w:tc>
        <w:tc>
          <w:tcPr>
            <w:tcW w:w="1985" w:type="dxa"/>
            <w:tcBorders>
              <w:right w:val="single" w:color="auto" w:sz="4" w:space="0"/>
            </w:tcBorders>
            <w:vAlign w:val="center"/>
          </w:tcPr>
          <w:p>
            <w:pPr>
              <w:adjustRightInd w:val="0"/>
              <w:snapToGrid w:val="0"/>
              <w:spacing w:before="50" w:line="360" w:lineRule="auto"/>
              <w:ind w:left="-88" w:leftChars="-42"/>
              <w:jc w:val="center"/>
              <w:rPr>
                <w:rFonts w:ascii="宋体" w:hAnsi="宋体"/>
                <w:color w:val="auto"/>
                <w:szCs w:val="21"/>
                <w:highlight w:val="none"/>
              </w:rPr>
            </w:pPr>
          </w:p>
        </w:tc>
        <w:tc>
          <w:tcPr>
            <w:tcW w:w="2126" w:type="dxa"/>
            <w:tcBorders>
              <w:left w:val="single" w:color="auto" w:sz="4" w:space="0"/>
            </w:tcBorders>
            <w:vAlign w:val="center"/>
          </w:tcPr>
          <w:p>
            <w:pPr>
              <w:adjustRightInd w:val="0"/>
              <w:snapToGrid w:val="0"/>
              <w:spacing w:before="50" w:line="360" w:lineRule="auto"/>
              <w:ind w:left="-88" w:leftChars="-42"/>
              <w:jc w:val="center"/>
              <w:rPr>
                <w:rFonts w:ascii="宋体" w:hAnsi="宋体"/>
                <w:color w:val="auto"/>
                <w:szCs w:val="21"/>
                <w:highlight w:val="none"/>
              </w:rPr>
            </w:pPr>
          </w:p>
        </w:tc>
        <w:tc>
          <w:tcPr>
            <w:tcW w:w="1756" w:type="dxa"/>
            <w:vAlign w:val="center"/>
          </w:tcPr>
          <w:p>
            <w:pPr>
              <w:adjustRightInd w:val="0"/>
              <w:snapToGrid w:val="0"/>
              <w:spacing w:before="50" w:line="360" w:lineRule="auto"/>
              <w:ind w:left="-88" w:leftChars="-42"/>
              <w:jc w:val="center"/>
              <w:rPr>
                <w:rFonts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pPr>
              <w:adjustRightInd w:val="0"/>
              <w:snapToGrid w:val="0"/>
              <w:spacing w:before="50" w:line="360" w:lineRule="auto"/>
              <w:ind w:left="-88" w:leftChars="-42"/>
              <w:jc w:val="center"/>
              <w:rPr>
                <w:rFonts w:ascii="宋体" w:hAnsi="宋体"/>
                <w:color w:val="auto"/>
                <w:szCs w:val="21"/>
                <w:highlight w:val="none"/>
              </w:rPr>
            </w:pPr>
          </w:p>
        </w:tc>
        <w:tc>
          <w:tcPr>
            <w:tcW w:w="2410" w:type="dxa"/>
            <w:vAlign w:val="center"/>
          </w:tcPr>
          <w:p>
            <w:pPr>
              <w:adjustRightInd w:val="0"/>
              <w:snapToGrid w:val="0"/>
              <w:spacing w:before="50" w:line="360" w:lineRule="auto"/>
              <w:ind w:left="-88" w:leftChars="-42"/>
              <w:jc w:val="center"/>
              <w:rPr>
                <w:rFonts w:ascii="宋体" w:hAnsi="宋体"/>
                <w:color w:val="auto"/>
                <w:szCs w:val="21"/>
                <w:highlight w:val="none"/>
              </w:rPr>
            </w:pPr>
          </w:p>
        </w:tc>
        <w:tc>
          <w:tcPr>
            <w:tcW w:w="1985" w:type="dxa"/>
            <w:tcBorders>
              <w:right w:val="single" w:color="auto" w:sz="4" w:space="0"/>
            </w:tcBorders>
            <w:vAlign w:val="center"/>
          </w:tcPr>
          <w:p>
            <w:pPr>
              <w:adjustRightInd w:val="0"/>
              <w:snapToGrid w:val="0"/>
              <w:spacing w:before="50" w:line="360" w:lineRule="auto"/>
              <w:ind w:left="-88" w:leftChars="-42"/>
              <w:jc w:val="center"/>
              <w:rPr>
                <w:rFonts w:ascii="宋体" w:hAnsi="宋体"/>
                <w:color w:val="auto"/>
                <w:szCs w:val="21"/>
                <w:highlight w:val="none"/>
              </w:rPr>
            </w:pPr>
          </w:p>
        </w:tc>
        <w:tc>
          <w:tcPr>
            <w:tcW w:w="3882" w:type="dxa"/>
            <w:gridSpan w:val="2"/>
            <w:tcBorders>
              <w:left w:val="single" w:color="auto" w:sz="4" w:space="0"/>
            </w:tcBorders>
            <w:vAlign w:val="center"/>
          </w:tcPr>
          <w:p>
            <w:pPr>
              <w:adjustRightInd w:val="0"/>
              <w:snapToGrid w:val="0"/>
              <w:spacing w:before="50" w:line="360" w:lineRule="auto"/>
              <w:ind w:firstLine="422" w:firstLineChars="200"/>
              <w:rPr>
                <w:rFonts w:ascii="宋体" w:hAnsi="宋体"/>
                <w:color w:val="auto"/>
                <w:szCs w:val="21"/>
                <w:highlight w:val="none"/>
              </w:rPr>
            </w:pPr>
            <w:r>
              <w:rPr>
                <w:rFonts w:hint="eastAsia" w:ascii="宋体" w:hAnsi="宋体"/>
                <w:b/>
                <w:color w:val="auto"/>
                <w:szCs w:val="21"/>
                <w:highlight w:val="none"/>
              </w:rPr>
              <w:t>供应商保证：除本采购需求偏离表列出的偏离外，我单位对磋商文件的其他采购需求条款完全响应，无偏离。</w:t>
            </w:r>
          </w:p>
        </w:tc>
      </w:tr>
    </w:tbl>
    <w:p>
      <w:pPr>
        <w:adjustRightInd w:val="0"/>
        <w:snapToGrid w:val="0"/>
        <w:spacing w:before="50" w:line="360" w:lineRule="auto"/>
        <w:ind w:left="-88" w:leftChars="-42"/>
        <w:rPr>
          <w:rFonts w:ascii="宋体" w:hAnsi="宋体"/>
          <w:b/>
          <w:color w:val="auto"/>
          <w:szCs w:val="21"/>
          <w:highlight w:val="none"/>
        </w:rPr>
      </w:pPr>
    </w:p>
    <w:p>
      <w:pPr>
        <w:adjustRightInd w:val="0"/>
        <w:snapToGrid w:val="0"/>
        <w:spacing w:before="50" w:line="360" w:lineRule="auto"/>
        <w:ind w:left="-88" w:leftChars="-42"/>
        <w:rPr>
          <w:rFonts w:ascii="宋体" w:hAnsi="宋体"/>
          <w:color w:val="auto"/>
          <w:szCs w:val="21"/>
          <w:highlight w:val="none"/>
        </w:rPr>
      </w:pPr>
      <w:r>
        <w:rPr>
          <w:rFonts w:hint="eastAsia" w:ascii="宋体" w:hAnsi="宋体"/>
          <w:b/>
          <w:color w:val="auto"/>
          <w:szCs w:val="21"/>
          <w:highlight w:val="none"/>
        </w:rPr>
        <w:t>备注</w:t>
      </w:r>
      <w:r>
        <w:rPr>
          <w:rFonts w:hint="eastAsia" w:ascii="宋体" w:hAnsi="宋体"/>
          <w:color w:val="auto"/>
          <w:szCs w:val="21"/>
          <w:highlight w:val="none"/>
        </w:rPr>
        <w:t>：（1）供应商应根据磋商文件第三章“采购需求”填写本表；</w:t>
      </w:r>
    </w:p>
    <w:p>
      <w:pPr>
        <w:adjustRightInd w:val="0"/>
        <w:snapToGrid w:val="0"/>
        <w:spacing w:before="50" w:line="360" w:lineRule="auto"/>
        <w:ind w:left="-88" w:leftChars="-42" w:firstLine="420" w:firstLineChars="200"/>
        <w:rPr>
          <w:rFonts w:ascii="宋体" w:hAnsi="宋体"/>
          <w:b/>
          <w:color w:val="auto"/>
          <w:szCs w:val="21"/>
          <w:highlight w:val="none"/>
        </w:rPr>
      </w:pPr>
      <w:r>
        <w:rPr>
          <w:rFonts w:hint="eastAsia" w:ascii="宋体" w:hAnsi="宋体"/>
          <w:color w:val="auto"/>
          <w:szCs w:val="21"/>
          <w:highlight w:val="none"/>
        </w:rPr>
        <w:t>（2）</w:t>
      </w:r>
      <w:r>
        <w:rPr>
          <w:rFonts w:hint="eastAsia" w:ascii="宋体" w:hAnsi="宋体"/>
          <w:b/>
          <w:color w:val="auto"/>
          <w:szCs w:val="21"/>
          <w:highlight w:val="none"/>
        </w:rPr>
        <w:t>供应商如果对磋商文件第三章“采购需求”的响应有偏离，应将偏离条款逐条如实应答，并作出说明；若无偏离，填写“无”盖章即可；</w:t>
      </w:r>
    </w:p>
    <w:p>
      <w:pPr>
        <w:adjustRightInd w:val="0"/>
        <w:snapToGrid w:val="0"/>
        <w:spacing w:before="50" w:line="360" w:lineRule="auto"/>
        <w:ind w:left="-88" w:leftChars="-42" w:firstLine="420" w:firstLineChars="200"/>
        <w:rPr>
          <w:rFonts w:ascii="宋体" w:hAnsi="宋体"/>
          <w:color w:val="auto"/>
          <w:szCs w:val="21"/>
          <w:highlight w:val="none"/>
        </w:rPr>
      </w:pPr>
      <w:r>
        <w:rPr>
          <w:rFonts w:hint="eastAsia" w:ascii="宋体" w:hAnsi="宋体"/>
          <w:color w:val="auto"/>
          <w:szCs w:val="21"/>
          <w:highlight w:val="none"/>
        </w:rPr>
        <w:t>（3）如不提供此表，则视为供应商不满足磋商文件第三章的所有条款要求，其</w:t>
      </w:r>
      <w:r>
        <w:rPr>
          <w:rFonts w:hint="eastAsia" w:ascii="宋体" w:hAnsi="宋体"/>
          <w:b/>
          <w:color w:val="auto"/>
          <w:szCs w:val="21"/>
          <w:highlight w:val="none"/>
        </w:rPr>
        <w:t>响应无效</w:t>
      </w:r>
      <w:r>
        <w:rPr>
          <w:rFonts w:hint="eastAsia" w:ascii="宋体" w:hAnsi="宋体"/>
          <w:color w:val="auto"/>
          <w:szCs w:val="21"/>
          <w:highlight w:val="none"/>
        </w:rPr>
        <w:t>。</w:t>
      </w:r>
    </w:p>
    <w:p>
      <w:pPr>
        <w:adjustRightInd w:val="0"/>
        <w:snapToGrid w:val="0"/>
        <w:spacing w:before="50" w:line="360" w:lineRule="auto"/>
        <w:rPr>
          <w:rFonts w:ascii="宋体" w:hAnsi="宋体"/>
          <w:color w:val="auto"/>
          <w:szCs w:val="21"/>
          <w:highlight w:val="none"/>
        </w:rPr>
      </w:pPr>
    </w:p>
    <w:p>
      <w:pPr>
        <w:adjustRightInd w:val="0"/>
        <w:snapToGrid w:val="0"/>
        <w:spacing w:before="50" w:line="360" w:lineRule="auto"/>
        <w:rPr>
          <w:rFonts w:ascii="宋体" w:hAnsi="宋体"/>
          <w:color w:val="auto"/>
          <w:szCs w:val="21"/>
          <w:highlight w:val="none"/>
        </w:rPr>
      </w:pPr>
    </w:p>
    <w:p>
      <w:pPr>
        <w:adjustRightInd w:val="0"/>
        <w:snapToGrid w:val="0"/>
        <w:spacing w:before="50" w:line="360" w:lineRule="auto"/>
        <w:rPr>
          <w:rFonts w:ascii="宋体" w:hAnsi="宋体"/>
          <w:color w:val="auto"/>
          <w:szCs w:val="21"/>
          <w:highlight w:val="none"/>
        </w:rPr>
      </w:pPr>
    </w:p>
    <w:p>
      <w:pPr>
        <w:adjustRightInd w:val="0"/>
        <w:snapToGrid w:val="0"/>
        <w:spacing w:before="120" w:beforeLines="50" w:line="360" w:lineRule="auto"/>
        <w:rPr>
          <w:rFonts w:ascii="宋体" w:hAnsi="宋体" w:cs="Courier New"/>
          <w:color w:val="auto"/>
          <w:szCs w:val="21"/>
          <w:highlight w:val="none"/>
        </w:rPr>
      </w:pPr>
      <w:r>
        <w:rPr>
          <w:rFonts w:hint="eastAsia" w:ascii="宋体" w:hAnsi="宋体" w:cs="Courier New"/>
          <w:color w:val="auto"/>
          <w:szCs w:val="21"/>
          <w:highlight w:val="none"/>
        </w:rPr>
        <w:t>供应商名称(盖单位公章)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pPr>
        <w:adjustRightInd w:val="0"/>
        <w:snapToGrid w:val="0"/>
        <w:spacing w:before="120" w:beforeLines="50" w:line="360" w:lineRule="auto"/>
        <w:rPr>
          <w:rFonts w:ascii="宋体" w:hAnsi="宋体"/>
          <w:color w:val="auto"/>
          <w:szCs w:val="21"/>
          <w:highlight w:val="none"/>
          <w:u w:val="single"/>
        </w:rPr>
      </w:pPr>
      <w:r>
        <w:rPr>
          <w:rFonts w:hint="eastAsia" w:ascii="宋体" w:hAnsi="宋体" w:cs="微软雅黑"/>
          <w:color w:val="auto"/>
          <w:spacing w:val="-2"/>
          <w:kern w:val="0"/>
          <w:szCs w:val="21"/>
          <w:highlight w:val="none"/>
        </w:rPr>
        <w:t>法</w:t>
      </w:r>
      <w:r>
        <w:rPr>
          <w:rFonts w:hint="eastAsia" w:ascii="宋体" w:hAnsi="宋体" w:cs="微软雅黑"/>
          <w:color w:val="auto"/>
          <w:kern w:val="0"/>
          <w:szCs w:val="21"/>
          <w:highlight w:val="none"/>
        </w:rPr>
        <w:t>定</w:t>
      </w:r>
      <w:r>
        <w:rPr>
          <w:rFonts w:hint="eastAsia" w:ascii="宋体" w:hAnsi="宋体" w:cs="微软雅黑"/>
          <w:color w:val="auto"/>
          <w:spacing w:val="-2"/>
          <w:kern w:val="0"/>
          <w:szCs w:val="21"/>
          <w:highlight w:val="none"/>
        </w:rPr>
        <w:t>代</w:t>
      </w:r>
      <w:r>
        <w:rPr>
          <w:rFonts w:hint="eastAsia" w:ascii="宋体" w:hAnsi="宋体" w:cs="微软雅黑"/>
          <w:color w:val="auto"/>
          <w:kern w:val="0"/>
          <w:szCs w:val="21"/>
          <w:highlight w:val="none"/>
        </w:rPr>
        <w:t>表</w:t>
      </w:r>
      <w:r>
        <w:rPr>
          <w:rFonts w:hint="eastAsia" w:ascii="宋体" w:hAnsi="宋体" w:cs="微软雅黑"/>
          <w:color w:val="auto"/>
          <w:spacing w:val="-2"/>
          <w:kern w:val="0"/>
          <w:szCs w:val="21"/>
          <w:highlight w:val="none"/>
        </w:rPr>
        <w:t>人</w:t>
      </w:r>
      <w:r>
        <w:rPr>
          <w:rFonts w:hint="eastAsia" w:ascii="宋体" w:hAnsi="宋体" w:cs="微软雅黑"/>
          <w:color w:val="auto"/>
          <w:kern w:val="0"/>
          <w:szCs w:val="21"/>
          <w:highlight w:val="none"/>
        </w:rPr>
        <w:t>（</w:t>
      </w:r>
      <w:r>
        <w:rPr>
          <w:rFonts w:hint="eastAsia" w:ascii="宋体" w:hAnsi="宋体" w:cs="微软雅黑"/>
          <w:color w:val="auto"/>
          <w:spacing w:val="-2"/>
          <w:kern w:val="0"/>
          <w:szCs w:val="21"/>
          <w:highlight w:val="none"/>
        </w:rPr>
        <w:t>单</w:t>
      </w:r>
      <w:r>
        <w:rPr>
          <w:rFonts w:hint="eastAsia" w:ascii="宋体" w:hAnsi="宋体" w:cs="微软雅黑"/>
          <w:color w:val="auto"/>
          <w:kern w:val="0"/>
          <w:szCs w:val="21"/>
          <w:highlight w:val="none"/>
        </w:rPr>
        <w:t>位</w:t>
      </w:r>
      <w:r>
        <w:rPr>
          <w:rFonts w:hint="eastAsia" w:ascii="宋体" w:hAnsi="宋体" w:cs="微软雅黑"/>
          <w:color w:val="auto"/>
          <w:spacing w:val="-2"/>
          <w:kern w:val="0"/>
          <w:szCs w:val="21"/>
          <w:highlight w:val="none"/>
        </w:rPr>
        <w:t>负</w:t>
      </w:r>
      <w:r>
        <w:rPr>
          <w:rFonts w:hint="eastAsia" w:ascii="宋体" w:hAnsi="宋体" w:cs="微软雅黑"/>
          <w:color w:val="auto"/>
          <w:kern w:val="0"/>
          <w:szCs w:val="21"/>
          <w:highlight w:val="none"/>
        </w:rPr>
        <w:t>责人</w:t>
      </w:r>
      <w:r>
        <w:rPr>
          <w:rFonts w:hint="eastAsia" w:ascii="宋体" w:hAnsi="宋体" w:cs="微软雅黑"/>
          <w:color w:val="auto"/>
          <w:spacing w:val="-2"/>
          <w:kern w:val="0"/>
          <w:szCs w:val="21"/>
          <w:highlight w:val="none"/>
        </w:rPr>
        <w:t>）</w:t>
      </w:r>
      <w:r>
        <w:rPr>
          <w:rFonts w:hint="eastAsia" w:ascii="宋体" w:hAnsi="宋体"/>
          <w:color w:val="auto"/>
          <w:szCs w:val="21"/>
          <w:highlight w:val="none"/>
        </w:rPr>
        <w:t>或其授权的代理人（签字或印章）：</w:t>
      </w:r>
      <w:r>
        <w:rPr>
          <w:rFonts w:hint="eastAsia" w:ascii="宋体" w:hAnsi="宋体"/>
          <w:color w:val="auto"/>
          <w:szCs w:val="21"/>
          <w:highlight w:val="none"/>
          <w:u w:val="single"/>
        </w:rPr>
        <w:t xml:space="preserve">               </w:t>
      </w:r>
    </w:p>
    <w:p>
      <w:pPr>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widowControl/>
        <w:jc w:val="left"/>
        <w:rPr>
          <w:rFonts w:ascii="宋体" w:hAnsi="宋体"/>
          <w:color w:val="auto"/>
          <w:sz w:val="28"/>
          <w:szCs w:val="28"/>
          <w:highlight w:val="none"/>
        </w:rPr>
      </w:pPr>
      <w:r>
        <w:rPr>
          <w:rFonts w:ascii="宋体" w:hAnsi="宋体"/>
          <w:color w:val="auto"/>
          <w:szCs w:val="21"/>
          <w:highlight w:val="none"/>
        </w:rPr>
        <w:br w:type="page"/>
      </w:r>
      <w:bookmarkEnd w:id="65"/>
      <w:bookmarkStart w:id="66" w:name="_Toc106890546"/>
    </w:p>
    <w:p>
      <w:pPr>
        <w:pStyle w:val="3"/>
        <w:adjustRightInd w:val="0"/>
        <w:snapToGrid w:val="0"/>
        <w:spacing w:before="120" w:beforeLines="50"/>
        <w:jc w:val="center"/>
        <w:rPr>
          <w:rFonts w:ascii="宋体" w:hAnsi="宋体"/>
          <w:color w:val="auto"/>
          <w:sz w:val="28"/>
          <w:szCs w:val="28"/>
          <w:highlight w:val="none"/>
        </w:rPr>
      </w:pPr>
      <w:r>
        <w:rPr>
          <w:rFonts w:hint="eastAsia" w:ascii="宋体" w:hAnsi="宋体"/>
          <w:color w:val="auto"/>
          <w:sz w:val="28"/>
          <w:szCs w:val="28"/>
          <w:highlight w:val="none"/>
        </w:rPr>
        <w:t>八、关于资格的说明</w:t>
      </w:r>
      <w:bookmarkEnd w:id="66"/>
    </w:p>
    <w:p>
      <w:pPr>
        <w:adjustRightInd w:val="0"/>
        <w:snapToGrid w:val="0"/>
        <w:spacing w:before="120" w:beforeLines="50" w:line="360" w:lineRule="auto"/>
        <w:jc w:val="center"/>
        <w:rPr>
          <w:rFonts w:ascii="宋体" w:hAnsi="宋体"/>
          <w:b/>
          <w:color w:val="auto"/>
          <w:sz w:val="28"/>
          <w:szCs w:val="28"/>
          <w:highlight w:val="none"/>
        </w:rPr>
      </w:pPr>
    </w:p>
    <w:p>
      <w:pPr>
        <w:adjustRightInd w:val="0"/>
        <w:snapToGrid w:val="0"/>
        <w:spacing w:before="120" w:beforeLines="50" w:line="360" w:lineRule="auto"/>
        <w:jc w:val="center"/>
        <w:rPr>
          <w:rFonts w:ascii="宋体" w:hAnsi="宋体"/>
          <w:b/>
          <w:color w:val="auto"/>
          <w:sz w:val="28"/>
          <w:szCs w:val="28"/>
          <w:highlight w:val="none"/>
        </w:rPr>
      </w:pPr>
      <w:r>
        <w:rPr>
          <w:rFonts w:hint="eastAsia" w:ascii="宋体" w:hAnsi="宋体"/>
          <w:b/>
          <w:color w:val="auto"/>
          <w:sz w:val="28"/>
          <w:szCs w:val="28"/>
          <w:highlight w:val="none"/>
        </w:rPr>
        <w:t>供应商的资格条件更新材料（如有）</w:t>
      </w:r>
    </w:p>
    <w:p>
      <w:pPr>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说明</w:t>
      </w:r>
      <w:r>
        <w:rPr>
          <w:rFonts w:hint="eastAsia" w:ascii="宋体" w:hAnsi="宋体"/>
          <w:color w:val="auto"/>
          <w:highlight w:val="none"/>
        </w:rPr>
        <w:t>：</w:t>
      </w:r>
      <w:r>
        <w:rPr>
          <w:rFonts w:hint="eastAsia" w:ascii="宋体" w:hAnsi="宋体" w:cs="宋体"/>
          <w:color w:val="auto"/>
          <w:kern w:val="0"/>
          <w:szCs w:val="21"/>
          <w:highlight w:val="none"/>
          <w:lang w:val="zh-CN"/>
        </w:rPr>
        <w:t>根据磋商文件第二章第二节第18.1款规定，被邀请的</w:t>
      </w:r>
      <w:r>
        <w:rPr>
          <w:rFonts w:hint="eastAsia" w:ascii="宋体" w:hAnsi="宋体"/>
          <w:color w:val="auto"/>
          <w:szCs w:val="21"/>
          <w:highlight w:val="none"/>
        </w:rPr>
        <w:t>供应商在提交资格证明材料</w:t>
      </w:r>
      <w:r>
        <w:rPr>
          <w:rFonts w:hint="eastAsia" w:ascii="宋体" w:hAnsi="宋体"/>
          <w:bCs/>
          <w:color w:val="auto"/>
          <w:szCs w:val="21"/>
          <w:highlight w:val="none"/>
        </w:rPr>
        <w:t>起</w:t>
      </w:r>
      <w:r>
        <w:rPr>
          <w:rFonts w:hint="eastAsia" w:ascii="宋体" w:hAnsi="宋体"/>
          <w:color w:val="auto"/>
          <w:szCs w:val="21"/>
          <w:highlight w:val="none"/>
        </w:rPr>
        <w:t>至</w:t>
      </w:r>
      <w:r>
        <w:rPr>
          <w:rFonts w:hint="eastAsia" w:ascii="宋体" w:hAnsi="宋体" w:cs="宋体"/>
          <w:color w:val="auto"/>
          <w:kern w:val="0"/>
          <w:szCs w:val="21"/>
          <w:highlight w:val="none"/>
        </w:rPr>
        <w:t>提交首次响应文件</w:t>
      </w:r>
      <w:r>
        <w:rPr>
          <w:rFonts w:hint="eastAsia" w:ascii="宋体" w:hAnsi="宋体"/>
          <w:color w:val="auto"/>
          <w:szCs w:val="21"/>
          <w:highlight w:val="none"/>
        </w:rPr>
        <w:t>止，其资格条件发生变化，影响或者可能影响资格条件的，应随本响应文件提供更新或者补充的资格证明材料。</w:t>
      </w:r>
    </w:p>
    <w:p>
      <w:pPr>
        <w:adjustRightInd w:val="0"/>
        <w:snapToGrid w:val="0"/>
        <w:spacing w:before="120" w:beforeLines="50" w:line="360" w:lineRule="auto"/>
        <w:rPr>
          <w:rFonts w:ascii="宋体" w:hAnsi="宋体"/>
          <w:color w:val="auto"/>
          <w:szCs w:val="21"/>
          <w:highlight w:val="none"/>
        </w:rPr>
      </w:pPr>
    </w:p>
    <w:p>
      <w:pPr>
        <w:widowControl/>
        <w:jc w:val="left"/>
        <w:rPr>
          <w:rFonts w:ascii="宋体" w:hAnsi="宋体"/>
          <w:color w:val="auto"/>
          <w:sz w:val="28"/>
          <w:szCs w:val="28"/>
          <w:highlight w:val="none"/>
        </w:rPr>
      </w:pPr>
      <w:bookmarkStart w:id="67" w:name="_Toc106890547"/>
      <w:r>
        <w:rPr>
          <w:rFonts w:ascii="宋体" w:hAnsi="宋体"/>
          <w:color w:val="auto"/>
          <w:sz w:val="28"/>
          <w:szCs w:val="28"/>
          <w:highlight w:val="none"/>
        </w:rPr>
        <w:br w:type="page"/>
      </w:r>
    </w:p>
    <w:p>
      <w:pPr>
        <w:pStyle w:val="3"/>
        <w:adjustRightInd w:val="0"/>
        <w:snapToGrid w:val="0"/>
        <w:spacing w:before="120" w:beforeLines="50"/>
        <w:jc w:val="center"/>
        <w:rPr>
          <w:rFonts w:ascii="宋体" w:hAnsi="宋体"/>
          <w:color w:val="auto"/>
          <w:sz w:val="28"/>
          <w:szCs w:val="28"/>
          <w:highlight w:val="none"/>
        </w:rPr>
      </w:pPr>
      <w:r>
        <w:rPr>
          <w:rFonts w:hint="eastAsia" w:ascii="宋体" w:hAnsi="宋体"/>
          <w:color w:val="auto"/>
          <w:sz w:val="28"/>
          <w:szCs w:val="28"/>
          <w:highlight w:val="none"/>
        </w:rPr>
        <w:t>九、响应标的符合磋商文件规定的证明文件</w:t>
      </w:r>
      <w:bookmarkEnd w:id="67"/>
    </w:p>
    <w:p>
      <w:pPr>
        <w:adjustRightInd w:val="0"/>
        <w:snapToGrid w:val="0"/>
        <w:spacing w:line="360" w:lineRule="auto"/>
        <w:rPr>
          <w:rFonts w:ascii="宋体" w:hAnsi="宋体"/>
          <w:color w:val="auto"/>
          <w:szCs w:val="21"/>
          <w:highlight w:val="none"/>
        </w:rPr>
      </w:pP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说明</w:t>
      </w:r>
      <w:r>
        <w:rPr>
          <w:rFonts w:hint="eastAsia" w:ascii="宋体" w:hAnsi="宋体"/>
          <w:color w:val="auto"/>
          <w:highlight w:val="none"/>
        </w:rPr>
        <w:t>：</w:t>
      </w:r>
      <w:r>
        <w:rPr>
          <w:rFonts w:hint="eastAsia" w:ascii="宋体" w:hAnsi="宋体"/>
          <w:color w:val="auto"/>
          <w:szCs w:val="21"/>
          <w:highlight w:val="none"/>
        </w:rPr>
        <w:t>提供第三章规定的证明材料复印件。</w:t>
      </w:r>
    </w:p>
    <w:p>
      <w:pPr>
        <w:pStyle w:val="36"/>
        <w:rPr>
          <w:color w:val="auto"/>
          <w:highlight w:val="none"/>
        </w:rPr>
      </w:pPr>
    </w:p>
    <w:p>
      <w:pPr>
        <w:widowControl/>
        <w:jc w:val="left"/>
        <w:rPr>
          <w:rFonts w:ascii="宋体" w:hAnsi="宋体"/>
          <w:color w:val="auto"/>
          <w:sz w:val="28"/>
          <w:szCs w:val="28"/>
          <w:highlight w:val="none"/>
        </w:rPr>
      </w:pPr>
      <w:bookmarkStart w:id="68" w:name="_Toc106890548"/>
      <w:r>
        <w:rPr>
          <w:rFonts w:ascii="宋体" w:hAnsi="宋体"/>
          <w:color w:val="auto"/>
          <w:sz w:val="28"/>
          <w:szCs w:val="28"/>
          <w:highlight w:val="none"/>
        </w:rPr>
        <w:br w:type="page"/>
      </w:r>
    </w:p>
    <w:p>
      <w:pPr>
        <w:pStyle w:val="3"/>
        <w:adjustRightInd w:val="0"/>
        <w:snapToGrid w:val="0"/>
        <w:spacing w:before="120" w:beforeLines="50"/>
        <w:jc w:val="center"/>
        <w:rPr>
          <w:rFonts w:ascii="宋体" w:hAnsi="宋体"/>
          <w:color w:val="auto"/>
          <w:sz w:val="28"/>
          <w:szCs w:val="28"/>
          <w:highlight w:val="none"/>
        </w:rPr>
      </w:pPr>
      <w:r>
        <w:rPr>
          <w:rFonts w:hint="eastAsia" w:ascii="宋体" w:hAnsi="宋体"/>
          <w:color w:val="auto"/>
          <w:sz w:val="28"/>
          <w:szCs w:val="28"/>
          <w:highlight w:val="none"/>
        </w:rPr>
        <w:t>十、供应商认为需提供的其他资料</w:t>
      </w:r>
      <w:bookmarkEnd w:id="68"/>
    </w:p>
    <w:p>
      <w:pPr>
        <w:adjustRightInd w:val="0"/>
        <w:snapToGrid w:val="0"/>
        <w:spacing w:before="120" w:beforeLines="50" w:line="360" w:lineRule="auto"/>
        <w:rPr>
          <w:rFonts w:ascii="宋体" w:hAnsi="宋体"/>
          <w:color w:val="auto"/>
          <w:highlight w:val="none"/>
        </w:rPr>
      </w:pPr>
    </w:p>
    <w:p>
      <w:pPr>
        <w:adjustRightInd w:val="0"/>
        <w:snapToGrid w:val="0"/>
        <w:spacing w:before="120" w:beforeLines="50" w:line="360" w:lineRule="auto"/>
        <w:rPr>
          <w:rFonts w:ascii="宋体" w:hAnsi="宋体"/>
          <w:color w:val="auto"/>
          <w:highlight w:val="none"/>
        </w:rPr>
      </w:pPr>
      <w:r>
        <w:rPr>
          <w:rFonts w:hint="eastAsia" w:ascii="宋体" w:hAnsi="宋体"/>
          <w:color w:val="auto"/>
          <w:szCs w:val="21"/>
          <w:highlight w:val="none"/>
        </w:rPr>
        <w:t>说明</w:t>
      </w:r>
      <w:r>
        <w:rPr>
          <w:rFonts w:hint="eastAsia" w:ascii="宋体" w:hAnsi="宋体"/>
          <w:color w:val="auto"/>
          <w:highlight w:val="none"/>
        </w:rPr>
        <w:t>：供应商认为需提供的其他资料包括：</w:t>
      </w:r>
    </w:p>
    <w:p>
      <w:pPr>
        <w:adjustRightInd w:val="0"/>
        <w:snapToGrid w:val="0"/>
        <w:spacing w:before="120" w:beforeLines="50" w:line="360" w:lineRule="auto"/>
        <w:ind w:firstLine="420" w:firstLineChars="200"/>
        <w:rPr>
          <w:rFonts w:ascii="宋体" w:hAnsi="宋体"/>
          <w:color w:val="auto"/>
          <w:highlight w:val="none"/>
        </w:rPr>
      </w:pPr>
      <w:r>
        <w:rPr>
          <w:rFonts w:hint="eastAsia" w:ascii="宋体" w:hAnsi="宋体"/>
          <w:color w:val="auto"/>
          <w:highlight w:val="none"/>
        </w:rPr>
        <w:t>（1）磋商文件第三章采购需求要求的其他资料；</w:t>
      </w:r>
    </w:p>
    <w:p>
      <w:pPr>
        <w:adjustRightInd w:val="0"/>
        <w:snapToGrid w:val="0"/>
        <w:spacing w:before="120" w:beforeLines="50" w:line="360" w:lineRule="auto"/>
        <w:ind w:firstLine="420" w:firstLineChars="200"/>
        <w:rPr>
          <w:rFonts w:ascii="宋体" w:hAnsi="宋体"/>
          <w:color w:val="auto"/>
          <w:highlight w:val="none"/>
        </w:rPr>
      </w:pPr>
      <w:r>
        <w:rPr>
          <w:rFonts w:hint="eastAsia" w:ascii="宋体" w:hAnsi="宋体"/>
          <w:color w:val="auto"/>
          <w:highlight w:val="none"/>
        </w:rPr>
        <w:t>（2）磋商文件要求的其他相关资料。</w:t>
      </w:r>
    </w:p>
    <w:p>
      <w:pPr>
        <w:pStyle w:val="15"/>
        <w:rPr>
          <w:rFonts w:ascii="宋体" w:hAnsi="宋体"/>
          <w:color w:val="auto"/>
          <w:highlight w:val="none"/>
        </w:rPr>
      </w:pPr>
    </w:p>
    <w:p>
      <w:pPr>
        <w:adjustRightInd w:val="0"/>
        <w:snapToGrid w:val="0"/>
        <w:spacing w:before="120" w:beforeLines="50" w:line="360" w:lineRule="auto"/>
        <w:rPr>
          <w:rFonts w:ascii="宋体" w:hAnsi="宋体"/>
          <w:color w:val="auto"/>
          <w:highlight w:val="none"/>
        </w:rPr>
      </w:pPr>
    </w:p>
    <w:sectPr>
      <w:headerReference r:id="rId5" w:type="default"/>
      <w:footerReference r:id="rId6" w:type="default"/>
      <w:pgSz w:w="11906" w:h="16838"/>
      <w:pgMar w:top="1134" w:right="1276" w:bottom="1134" w:left="567" w:header="851" w:footer="992" w:gutter="567"/>
      <w:cols w:space="720" w:num="1"/>
      <w:docGrid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彭双" w:date="2023-09-26T16:44:00Z" w:initials="">
    <w:p w14:paraId="1B8D709C">
      <w:pPr>
        <w:pStyle w:val="13"/>
      </w:pPr>
      <w:r>
        <w:rPr>
          <w:rFonts w:hint="eastAsia"/>
        </w:rPr>
        <w:t>提出询问的截止日期和方式是？</w:t>
      </w:r>
    </w:p>
  </w:comment>
  <w:comment w:id="1" w:author="彭双" w:date="2023-09-26T16:33:00Z" w:initials="">
    <w:p w14:paraId="40F67C1C">
      <w:pPr>
        <w:pStyle w:val="13"/>
      </w:pPr>
      <w:r>
        <w:rPr>
          <w:rFonts w:hint="eastAsia"/>
        </w:rPr>
        <w:t>上文第3页联系人为刘宏志，是否确定2人均为联系人，建议保持一致。</w:t>
      </w:r>
    </w:p>
  </w:comment>
  <w:comment w:id="2" w:author="彭双" w:date="2023-09-26T16:45:00Z" w:initials="">
    <w:p w14:paraId="207E5EC3">
      <w:pPr>
        <w:pStyle w:val="13"/>
      </w:pPr>
      <w:r>
        <w:rPr>
          <w:rFonts w:hint="eastAsia"/>
        </w:rPr>
        <w:t>是否添加纪检监督的联络方式</w:t>
      </w:r>
    </w:p>
  </w:comment>
  <w:comment w:id="3" w:author="彭双" w:date="2023-09-26T16:48:00Z" w:initials="">
    <w:p w14:paraId="0650295A">
      <w:pPr>
        <w:pStyle w:val="13"/>
      </w:pPr>
      <w:r>
        <w:rPr>
          <w:rFonts w:hint="eastAsia"/>
        </w:rPr>
        <w:t>本次磋商邀请无需保证金即可将本条删除。</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B8D709C" w15:done="0"/>
  <w15:commentEx w15:paraId="40F67C1C" w15:done="0"/>
  <w15:commentEx w15:paraId="207E5EC3" w15:done="0"/>
  <w15:commentEx w15:paraId="0650295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0" w:usb3="00000000" w:csb0="00000000"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rFonts w:hint="eastAsia"/>
      </w:rPr>
      <w:t xml:space="preserve">                                                          </w:t>
    </w:r>
    <w:r>
      <w:fldChar w:fldCharType="begin"/>
    </w:r>
    <w:r>
      <w:instrText xml:space="preserve"> PAGE   \* MERGEFORMAT </w:instrText>
    </w:r>
    <w:r>
      <w:fldChar w:fldCharType="separate"/>
    </w:r>
    <w:r>
      <w:t>34</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abstractNum w:abstractNumId="1">
    <w:nsid w:val="00000002"/>
    <w:multiLevelType w:val="singleLevel"/>
    <w:tmpl w:val="00000002"/>
    <w:lvl w:ilvl="0" w:tentative="0">
      <w:start w:val="1"/>
      <w:numFmt w:val="decimal"/>
      <w:suff w:val="nothing"/>
      <w:lvlText w:val="%1、"/>
      <w:lvlJc w:val="left"/>
    </w:lvl>
  </w:abstractNum>
  <w:abstractNum w:abstractNumId="2">
    <w:nsid w:val="00000003"/>
    <w:multiLevelType w:val="singleLevel"/>
    <w:tmpl w:val="00000003"/>
    <w:lvl w:ilvl="0" w:tentative="0">
      <w:start w:val="5"/>
      <w:numFmt w:val="chineseCounting"/>
      <w:suff w:val="nothing"/>
      <w:lvlText w:val="%1、"/>
      <w:lvlJc w:val="left"/>
      <w:rPr>
        <w:rFonts w:hint="eastAsia"/>
      </w:rPr>
    </w:lvl>
  </w:abstractNum>
  <w:abstractNum w:abstractNumId="3">
    <w:nsid w:val="00000004"/>
    <w:multiLevelType w:val="singleLevel"/>
    <w:tmpl w:val="00000004"/>
    <w:lvl w:ilvl="0" w:tentative="0">
      <w:start w:val="2"/>
      <w:numFmt w:val="chineseCounting"/>
      <w:suff w:val="space"/>
      <w:lvlText w:val="第%1节"/>
      <w:lvlJc w:val="left"/>
      <w:rPr>
        <w:rFonts w:hint="eastAsia"/>
      </w:rPr>
    </w:lvl>
  </w:abstractNum>
  <w:abstractNum w:abstractNumId="4">
    <w:nsid w:val="00000005"/>
    <w:multiLevelType w:val="singleLevel"/>
    <w:tmpl w:val="00000005"/>
    <w:lvl w:ilvl="0" w:tentative="0">
      <w:start w:val="1"/>
      <w:numFmt w:val="decimal"/>
      <w:lvlText w:val="%1."/>
      <w:lvlJc w:val="left"/>
      <w:pPr>
        <w:tabs>
          <w:tab w:val="left" w:pos="312"/>
        </w:tabs>
      </w:pPr>
    </w:lvl>
  </w:abstractNum>
  <w:abstractNum w:abstractNumId="5">
    <w:nsid w:val="0053208E"/>
    <w:multiLevelType w:val="singleLevel"/>
    <w:tmpl w:val="0053208E"/>
    <w:lvl w:ilvl="0" w:tentative="0">
      <w:start w:val="1"/>
      <w:numFmt w:val="decimal"/>
      <w:suff w:val="nothing"/>
      <w:lvlText w:val="%1、"/>
      <w:lvlJc w:val="left"/>
    </w:lvl>
  </w:abstractNum>
  <w:num w:numId="1">
    <w:abstractNumId w:val="3"/>
  </w:num>
  <w:num w:numId="2">
    <w:abstractNumId w:val="1"/>
  </w:num>
  <w:num w:numId="3">
    <w:abstractNumId w:val="5"/>
  </w:num>
  <w:num w:numId="4">
    <w:abstractNumId w:val="4"/>
  </w:num>
  <w:num w:numId="5">
    <w:abstractNumId w:val="2"/>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彭双">
    <w15:presenceInfo w15:providerId="None" w15:userId="彭双"/>
  </w15:person>
  <w15:person w15:author="Administrator">
    <w15:presenceInfo w15:providerId="None" w15:userId="Administrator"/>
  </w15:person>
  <w15:person w15:author="Apple">
    <w15:presenceInfo w15:providerId="None" w15:userId="Apple"/>
  </w15:person>
  <w15:person w15:author="哪吒">
    <w15:presenceInfo w15:providerId="None" w15:userId="哪吒"/>
  </w15:person>
  <w15:person w15:author="V2227A">
    <w15:presenceInfo w15:providerId="None" w15:userId="V222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1"/>
  <w:bordersDoNotSurroundFooter w:val="1"/>
  <w:revisionView w:markup="0"/>
  <w:documentProtection w:enforcement="0"/>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1NDZjNjc2NTIxZDc5NGI0NTNjNDZmMzk4NTM0ZjQifQ=="/>
  </w:docVars>
  <w:rsids>
    <w:rsidRoot w:val="00C56CD8"/>
    <w:rsid w:val="0016238D"/>
    <w:rsid w:val="008A3394"/>
    <w:rsid w:val="00C56CD8"/>
    <w:rsid w:val="00DE4A33"/>
    <w:rsid w:val="159B4388"/>
    <w:rsid w:val="337B7104"/>
    <w:rsid w:val="4C4268EB"/>
    <w:rsid w:val="53661AA0"/>
    <w:rsid w:val="63D27965"/>
    <w:rsid w:val="650F381E"/>
    <w:rsid w:val="7C402E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link w:val="49"/>
    <w:qFormat/>
    <w:uiPriority w:val="0"/>
    <w:pPr>
      <w:keepNext/>
      <w:keepLines/>
      <w:spacing w:before="340" w:after="330" w:line="578" w:lineRule="auto"/>
      <w:outlineLvl w:val="0"/>
    </w:pPr>
    <w:rPr>
      <w:b/>
      <w:bCs/>
      <w:kern w:val="44"/>
      <w:sz w:val="44"/>
      <w:szCs w:val="44"/>
    </w:rPr>
  </w:style>
  <w:style w:type="paragraph" w:styleId="3">
    <w:name w:val="heading 2"/>
    <w:basedOn w:val="1"/>
    <w:link w:val="50"/>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link w:val="51"/>
    <w:qFormat/>
    <w:uiPriority w:val="0"/>
    <w:pPr>
      <w:keepNext/>
      <w:keepLines/>
      <w:spacing w:before="260" w:after="260" w:line="416" w:lineRule="auto"/>
      <w:outlineLvl w:val="2"/>
    </w:pPr>
    <w:rPr>
      <w:b/>
      <w:bCs/>
      <w:kern w:val="0"/>
      <w:sz w:val="32"/>
      <w:szCs w:val="32"/>
    </w:rPr>
  </w:style>
  <w:style w:type="paragraph" w:styleId="5">
    <w:name w:val="heading 4"/>
    <w:basedOn w:val="1"/>
    <w:link w:val="52"/>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link w:val="53"/>
    <w:qFormat/>
    <w:uiPriority w:val="0"/>
    <w:pPr>
      <w:keepNext/>
      <w:keepLines/>
      <w:spacing w:before="280" w:after="290" w:line="376" w:lineRule="auto"/>
      <w:outlineLvl w:val="4"/>
    </w:pPr>
    <w:rPr>
      <w:b/>
      <w:bCs/>
      <w:sz w:val="28"/>
      <w:szCs w:val="28"/>
    </w:rPr>
  </w:style>
  <w:style w:type="paragraph" w:styleId="7">
    <w:name w:val="heading 6"/>
    <w:basedOn w:val="1"/>
    <w:link w:val="54"/>
    <w:qFormat/>
    <w:uiPriority w:val="0"/>
    <w:pPr>
      <w:keepNext/>
      <w:keepLines/>
      <w:spacing w:before="240" w:after="64" w:line="320" w:lineRule="auto"/>
      <w:outlineLvl w:val="5"/>
    </w:pPr>
    <w:rPr>
      <w:rFonts w:ascii="Arial" w:hAnsi="Arial" w:eastAsia="黑体"/>
      <w:b/>
      <w:sz w:val="24"/>
      <w:szCs w:val="20"/>
    </w:rPr>
  </w:style>
  <w:style w:type="paragraph" w:styleId="8">
    <w:name w:val="heading 7"/>
    <w:basedOn w:val="1"/>
    <w:link w:val="55"/>
    <w:qFormat/>
    <w:uiPriority w:val="0"/>
    <w:pPr>
      <w:keepNext/>
      <w:keepLines/>
      <w:spacing w:before="240" w:after="64" w:line="320" w:lineRule="auto"/>
      <w:outlineLvl w:val="6"/>
    </w:pPr>
    <w:rPr>
      <w:b/>
      <w:sz w:val="24"/>
      <w:szCs w:val="20"/>
    </w:rPr>
  </w:style>
  <w:style w:type="paragraph" w:styleId="9">
    <w:name w:val="heading 8"/>
    <w:basedOn w:val="1"/>
    <w:link w:val="56"/>
    <w:qFormat/>
    <w:uiPriority w:val="0"/>
    <w:pPr>
      <w:keepNext/>
      <w:keepLines/>
      <w:spacing w:before="240" w:after="64" w:line="320" w:lineRule="auto"/>
      <w:outlineLvl w:val="7"/>
    </w:pPr>
    <w:rPr>
      <w:rFonts w:ascii="Arial" w:hAnsi="Arial" w:eastAsia="黑体"/>
      <w:sz w:val="24"/>
      <w:szCs w:val="20"/>
    </w:rPr>
  </w:style>
  <w:style w:type="paragraph" w:styleId="10">
    <w:name w:val="heading 9"/>
    <w:basedOn w:val="1"/>
    <w:link w:val="57"/>
    <w:qFormat/>
    <w:uiPriority w:val="0"/>
    <w:pPr>
      <w:keepNext/>
      <w:keepLines/>
      <w:spacing w:before="240" w:after="64" w:line="320" w:lineRule="auto"/>
      <w:outlineLvl w:val="8"/>
    </w:pPr>
    <w:rPr>
      <w:rFonts w:ascii="Arial" w:hAnsi="Arial" w:eastAsia="黑体"/>
      <w:szCs w:val="20"/>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207"/>
    <w:qFormat/>
    <w:uiPriority w:val="0"/>
    <w:pPr>
      <w:ind w:firstLine="420"/>
    </w:pPr>
    <w:rPr>
      <w:sz w:val="24"/>
    </w:rPr>
  </w:style>
  <w:style w:type="paragraph" w:styleId="12">
    <w:name w:val="Document Map"/>
    <w:basedOn w:val="1"/>
    <w:link w:val="65"/>
    <w:qFormat/>
    <w:uiPriority w:val="0"/>
    <w:pPr>
      <w:shd w:val="clear" w:color="auto" w:fill="000080"/>
    </w:pPr>
    <w:rPr>
      <w:rFonts w:cs="宋体"/>
    </w:rPr>
  </w:style>
  <w:style w:type="paragraph" w:styleId="13">
    <w:name w:val="annotation text"/>
    <w:basedOn w:val="1"/>
    <w:link w:val="115"/>
    <w:qFormat/>
    <w:uiPriority w:val="0"/>
    <w:pPr>
      <w:jc w:val="left"/>
    </w:pPr>
  </w:style>
  <w:style w:type="paragraph" w:styleId="14">
    <w:name w:val="Salutation"/>
    <w:basedOn w:val="1"/>
    <w:link w:val="94"/>
    <w:qFormat/>
    <w:uiPriority w:val="0"/>
    <w:rPr>
      <w:rFonts w:ascii="Calibri" w:hAnsi="Calibri" w:cs="宋体"/>
      <w:sz w:val="24"/>
      <w:szCs w:val="22"/>
    </w:rPr>
  </w:style>
  <w:style w:type="paragraph" w:styleId="15">
    <w:name w:val="Body Text"/>
    <w:basedOn w:val="1"/>
    <w:link w:val="73"/>
    <w:qFormat/>
    <w:uiPriority w:val="0"/>
    <w:pPr>
      <w:spacing w:after="120"/>
    </w:pPr>
    <w:rPr>
      <w:rFonts w:cs="宋体"/>
    </w:rPr>
  </w:style>
  <w:style w:type="paragraph" w:styleId="16">
    <w:name w:val="Body Text Indent"/>
    <w:basedOn w:val="1"/>
    <w:link w:val="88"/>
    <w:qFormat/>
    <w:uiPriority w:val="0"/>
    <w:pPr>
      <w:adjustRightInd w:val="0"/>
      <w:snapToGrid w:val="0"/>
      <w:spacing w:line="360" w:lineRule="auto"/>
      <w:ind w:firstLine="600" w:firstLineChars="200"/>
    </w:pPr>
    <w:rPr>
      <w:rFonts w:ascii="宋体" w:hAnsi="宋体"/>
      <w:sz w:val="30"/>
    </w:rPr>
  </w:style>
  <w:style w:type="paragraph" w:styleId="17">
    <w:name w:val="Block Text"/>
    <w:basedOn w:val="1"/>
    <w:qFormat/>
    <w:uiPriority w:val="0"/>
    <w:pPr>
      <w:spacing w:after="120"/>
      <w:ind w:left="1440" w:leftChars="700" w:right="1440" w:rightChars="700"/>
    </w:pPr>
    <w:rPr>
      <w:szCs w:val="21"/>
    </w:rPr>
  </w:style>
  <w:style w:type="paragraph" w:styleId="18">
    <w:name w:val="Plain Text"/>
    <w:basedOn w:val="1"/>
    <w:link w:val="72"/>
    <w:qFormat/>
    <w:uiPriority w:val="0"/>
    <w:rPr>
      <w:rFonts w:ascii="宋体" w:hAnsi="Courier New"/>
      <w:szCs w:val="20"/>
    </w:rPr>
  </w:style>
  <w:style w:type="paragraph" w:styleId="19">
    <w:name w:val="Date"/>
    <w:basedOn w:val="1"/>
    <w:link w:val="86"/>
    <w:qFormat/>
    <w:uiPriority w:val="0"/>
    <w:pPr>
      <w:ind w:left="100" w:leftChars="2500"/>
    </w:pPr>
  </w:style>
  <w:style w:type="paragraph" w:styleId="20">
    <w:name w:val="Body Text Indent 2"/>
    <w:basedOn w:val="1"/>
    <w:link w:val="99"/>
    <w:qFormat/>
    <w:uiPriority w:val="0"/>
    <w:pPr>
      <w:spacing w:after="120" w:line="480" w:lineRule="auto"/>
      <w:ind w:left="420" w:leftChars="200"/>
    </w:pPr>
  </w:style>
  <w:style w:type="paragraph" w:styleId="21">
    <w:name w:val="Balloon Text"/>
    <w:basedOn w:val="1"/>
    <w:link w:val="98"/>
    <w:qFormat/>
    <w:uiPriority w:val="0"/>
    <w:rPr>
      <w:sz w:val="18"/>
      <w:szCs w:val="18"/>
    </w:rPr>
  </w:style>
  <w:style w:type="paragraph" w:styleId="22">
    <w:name w:val="footer"/>
    <w:basedOn w:val="1"/>
    <w:link w:val="85"/>
    <w:qFormat/>
    <w:uiPriority w:val="99"/>
    <w:pPr>
      <w:tabs>
        <w:tab w:val="center" w:pos="4153"/>
        <w:tab w:val="right" w:pos="8306"/>
      </w:tabs>
      <w:snapToGrid w:val="0"/>
      <w:jc w:val="left"/>
    </w:pPr>
    <w:rPr>
      <w:sz w:val="18"/>
    </w:rPr>
  </w:style>
  <w:style w:type="paragraph" w:styleId="23">
    <w:name w:val="header"/>
    <w:basedOn w:val="1"/>
    <w:link w:val="5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4">
    <w:name w:val="toc 1"/>
    <w:basedOn w:val="1"/>
    <w:qFormat/>
    <w:uiPriority w:val="0"/>
    <w:pPr>
      <w:spacing w:before="120" w:after="120"/>
      <w:jc w:val="center"/>
    </w:pPr>
    <w:rPr>
      <w:b/>
      <w:sz w:val="32"/>
      <w:szCs w:val="32"/>
    </w:rPr>
  </w:style>
  <w:style w:type="paragraph" w:styleId="25">
    <w:name w:val="toc 6"/>
    <w:basedOn w:val="1"/>
    <w:qFormat/>
    <w:uiPriority w:val="0"/>
    <w:pPr>
      <w:ind w:left="2100"/>
    </w:pPr>
    <w:rPr>
      <w:szCs w:val="20"/>
    </w:rPr>
  </w:style>
  <w:style w:type="paragraph" w:styleId="26">
    <w:name w:val="Body Text Indent 3"/>
    <w:basedOn w:val="1"/>
    <w:link w:val="66"/>
    <w:qFormat/>
    <w:uiPriority w:val="0"/>
    <w:pPr>
      <w:spacing w:line="400" w:lineRule="atLeast"/>
      <w:ind w:firstLine="480" w:firstLineChars="200"/>
    </w:pPr>
    <w:rPr>
      <w:rFonts w:cs="宋体"/>
      <w:bCs/>
      <w:sz w:val="24"/>
      <w:szCs w:val="22"/>
    </w:rPr>
  </w:style>
  <w:style w:type="paragraph" w:styleId="27">
    <w:name w:val="toc 2"/>
    <w:basedOn w:val="1"/>
    <w:qFormat/>
    <w:uiPriority w:val="0"/>
    <w:pPr>
      <w:ind w:left="420" w:leftChars="200"/>
    </w:pPr>
  </w:style>
  <w:style w:type="paragraph" w:styleId="28">
    <w:name w:val="toc 9"/>
    <w:basedOn w:val="1"/>
    <w:next w:val="1"/>
    <w:qFormat/>
    <w:uiPriority w:val="0"/>
    <w:pPr>
      <w:ind w:left="3360" w:leftChars="1600"/>
    </w:pPr>
  </w:style>
  <w:style w:type="paragraph" w:styleId="29">
    <w:name w:val="Body Text 2"/>
    <w:basedOn w:val="1"/>
    <w:link w:val="92"/>
    <w:qFormat/>
    <w:uiPriority w:val="0"/>
    <w:rPr>
      <w:rFonts w:cs="宋体"/>
      <w:b/>
      <w:sz w:val="24"/>
      <w:szCs w:val="22"/>
    </w:rPr>
  </w:style>
  <w:style w:type="paragraph" w:styleId="30">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szCs w:val="22"/>
    </w:rPr>
  </w:style>
  <w:style w:type="paragraph" w:styleId="3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2">
    <w:name w:val="index 1"/>
    <w:basedOn w:val="1"/>
    <w:qFormat/>
    <w:uiPriority w:val="0"/>
    <w:pPr>
      <w:spacing w:line="220" w:lineRule="exact"/>
      <w:jc w:val="center"/>
    </w:pPr>
    <w:rPr>
      <w:rFonts w:ascii="仿宋_GB2312" w:eastAsia="仿宋_GB2312"/>
      <w:szCs w:val="20"/>
    </w:rPr>
  </w:style>
  <w:style w:type="paragraph" w:styleId="33">
    <w:name w:val="Title"/>
    <w:basedOn w:val="1"/>
    <w:link w:val="93"/>
    <w:qFormat/>
    <w:uiPriority w:val="0"/>
    <w:pPr>
      <w:jc w:val="center"/>
    </w:pPr>
    <w:rPr>
      <w:rFonts w:ascii="黑体" w:eastAsia="黑体"/>
      <w:b/>
      <w:sz w:val="36"/>
      <w:szCs w:val="20"/>
    </w:rPr>
  </w:style>
  <w:style w:type="paragraph" w:styleId="34">
    <w:name w:val="annotation subject"/>
    <w:basedOn w:val="13"/>
    <w:link w:val="75"/>
    <w:qFormat/>
    <w:uiPriority w:val="0"/>
    <w:rPr>
      <w:rFonts w:cs="宋体"/>
      <w:b/>
      <w:bCs/>
    </w:rPr>
  </w:style>
  <w:style w:type="paragraph" w:styleId="35">
    <w:name w:val="Body Text First Indent"/>
    <w:basedOn w:val="15"/>
    <w:link w:val="204"/>
    <w:qFormat/>
    <w:uiPriority w:val="0"/>
    <w:pPr>
      <w:ind w:firstLine="420" w:firstLineChars="100"/>
    </w:pPr>
    <w:rPr>
      <w:rFonts w:ascii="Calibri" w:hAnsi="Calibri"/>
    </w:rPr>
  </w:style>
  <w:style w:type="paragraph" w:styleId="36">
    <w:name w:val="Body Text First Indent 2"/>
    <w:basedOn w:val="16"/>
    <w:qFormat/>
    <w:uiPriority w:val="99"/>
    <w:pPr>
      <w:spacing w:after="120"/>
      <w:ind w:left="420" w:leftChars="200" w:firstLine="420"/>
    </w:pPr>
    <w:rPr>
      <w:rFonts w:ascii="Times New Roman" w:hAnsi="Times New Roman"/>
      <w:sz w:val="21"/>
      <w:szCs w:val="20"/>
    </w:rPr>
  </w:style>
  <w:style w:type="table" w:styleId="38">
    <w:name w:val="Table Grid"/>
    <w:basedOn w:val="3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0">
    <w:name w:val="Strong"/>
    <w:qFormat/>
    <w:uiPriority w:val="0"/>
    <w:rPr>
      <w:b/>
      <w:bCs/>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qFormat/>
    <w:uiPriority w:val="0"/>
    <w:rPr>
      <w:color w:val="0000FF"/>
      <w:u w:val="single"/>
    </w:rPr>
  </w:style>
  <w:style w:type="character" w:styleId="44">
    <w:name w:val="annotation reference"/>
    <w:qFormat/>
    <w:uiPriority w:val="0"/>
    <w:rPr>
      <w:sz w:val="21"/>
      <w:szCs w:val="21"/>
    </w:rPr>
  </w:style>
  <w:style w:type="paragraph" w:customStyle="1" w:styleId="45">
    <w:name w:val="Style23"/>
    <w:basedOn w:val="1"/>
    <w:qFormat/>
    <w:uiPriority w:val="99"/>
    <w:rPr>
      <w:rFonts w:ascii="Calibri" w:hAnsi="Calibri"/>
    </w:rPr>
  </w:style>
  <w:style w:type="paragraph" w:customStyle="1" w:styleId="46">
    <w:name w:val="列出段落1"/>
    <w:basedOn w:val="1"/>
    <w:qFormat/>
    <w:uiPriority w:val="99"/>
    <w:pPr>
      <w:autoSpaceDE w:val="0"/>
      <w:autoSpaceDN w:val="0"/>
      <w:adjustRightInd w:val="0"/>
      <w:spacing w:line="315" w:lineRule="atLeast"/>
      <w:ind w:firstLine="420" w:firstLineChars="200"/>
      <w:jc w:val="left"/>
    </w:pPr>
    <w:rPr>
      <w:rFonts w:ascii="楷体_GB2312" w:eastAsia="楷体_GB2312" w:cs="楷体_GB2312"/>
      <w:kern w:val="0"/>
      <w:sz w:val="28"/>
      <w:szCs w:val="28"/>
    </w:rPr>
  </w:style>
  <w:style w:type="paragraph" w:customStyle="1" w:styleId="47">
    <w:name w:val="Style26"/>
    <w:basedOn w:val="1"/>
    <w:qFormat/>
    <w:uiPriority w:val="99"/>
    <w:rPr>
      <w:rFonts w:ascii="Calibri" w:hAnsi="Calibri"/>
    </w:rPr>
  </w:style>
  <w:style w:type="paragraph" w:customStyle="1" w:styleId="48">
    <w:name w:val="font5"/>
    <w:basedOn w:val="1"/>
    <w:qFormat/>
    <w:uiPriority w:val="0"/>
    <w:pPr>
      <w:widowControl/>
      <w:spacing w:before="100" w:beforeAutospacing="1" w:after="100" w:afterAutospacing="1"/>
      <w:jc w:val="left"/>
    </w:pPr>
    <w:rPr>
      <w:rFonts w:ascii="宋体" w:hAnsi="宋体" w:cs="宋体"/>
      <w:kern w:val="0"/>
      <w:sz w:val="18"/>
      <w:szCs w:val="18"/>
    </w:rPr>
  </w:style>
  <w:style w:type="character" w:customStyle="1" w:styleId="49">
    <w:name w:val="标题 1 Char"/>
    <w:basedOn w:val="39"/>
    <w:link w:val="2"/>
    <w:qFormat/>
    <w:uiPriority w:val="0"/>
    <w:rPr>
      <w:rFonts w:ascii="Times New Roman" w:hAnsi="Times New Roman" w:eastAsia="宋体" w:cs="Times New Roman"/>
      <w:b/>
      <w:bCs/>
      <w:kern w:val="44"/>
      <w:sz w:val="44"/>
      <w:szCs w:val="44"/>
    </w:rPr>
  </w:style>
  <w:style w:type="character" w:customStyle="1" w:styleId="50">
    <w:name w:val="标题 2 Char"/>
    <w:basedOn w:val="39"/>
    <w:link w:val="3"/>
    <w:qFormat/>
    <w:uiPriority w:val="0"/>
    <w:rPr>
      <w:rFonts w:ascii="Arial" w:hAnsi="Arial" w:eastAsia="黑体" w:cs="Times New Roman"/>
      <w:b/>
      <w:bCs/>
      <w:kern w:val="0"/>
      <w:sz w:val="32"/>
      <w:szCs w:val="32"/>
    </w:rPr>
  </w:style>
  <w:style w:type="character" w:customStyle="1" w:styleId="51">
    <w:name w:val="标题 3 Char"/>
    <w:basedOn w:val="39"/>
    <w:link w:val="4"/>
    <w:qFormat/>
    <w:uiPriority w:val="0"/>
    <w:rPr>
      <w:rFonts w:ascii="Times New Roman" w:hAnsi="Times New Roman" w:eastAsia="宋体" w:cs="Times New Roman"/>
      <w:b/>
      <w:bCs/>
      <w:kern w:val="0"/>
      <w:sz w:val="32"/>
      <w:szCs w:val="32"/>
    </w:rPr>
  </w:style>
  <w:style w:type="character" w:customStyle="1" w:styleId="52">
    <w:name w:val="标题 4 Char"/>
    <w:basedOn w:val="39"/>
    <w:link w:val="5"/>
    <w:qFormat/>
    <w:uiPriority w:val="0"/>
    <w:rPr>
      <w:rFonts w:ascii="Arial" w:hAnsi="Arial" w:eastAsia="黑体" w:cs="Times New Roman"/>
      <w:b/>
      <w:bCs/>
      <w:sz w:val="28"/>
      <w:szCs w:val="28"/>
    </w:rPr>
  </w:style>
  <w:style w:type="character" w:customStyle="1" w:styleId="53">
    <w:name w:val="标题 5 Char"/>
    <w:basedOn w:val="39"/>
    <w:link w:val="6"/>
    <w:qFormat/>
    <w:uiPriority w:val="0"/>
    <w:rPr>
      <w:rFonts w:ascii="Times New Roman" w:hAnsi="Times New Roman" w:eastAsia="宋体" w:cs="Times New Roman"/>
      <w:b/>
      <w:bCs/>
      <w:sz w:val="28"/>
      <w:szCs w:val="28"/>
    </w:rPr>
  </w:style>
  <w:style w:type="character" w:customStyle="1" w:styleId="54">
    <w:name w:val="标题 6 Char"/>
    <w:basedOn w:val="39"/>
    <w:link w:val="7"/>
    <w:qFormat/>
    <w:uiPriority w:val="0"/>
    <w:rPr>
      <w:rFonts w:ascii="Arial" w:hAnsi="Arial" w:eastAsia="黑体" w:cs="Times New Roman"/>
      <w:b/>
      <w:sz w:val="24"/>
      <w:szCs w:val="20"/>
    </w:rPr>
  </w:style>
  <w:style w:type="character" w:customStyle="1" w:styleId="55">
    <w:name w:val="标题 7 Char"/>
    <w:basedOn w:val="39"/>
    <w:link w:val="8"/>
    <w:qFormat/>
    <w:uiPriority w:val="0"/>
    <w:rPr>
      <w:rFonts w:ascii="Times New Roman" w:hAnsi="Times New Roman" w:eastAsia="宋体" w:cs="Times New Roman"/>
      <w:b/>
      <w:sz w:val="24"/>
      <w:szCs w:val="20"/>
    </w:rPr>
  </w:style>
  <w:style w:type="character" w:customStyle="1" w:styleId="56">
    <w:name w:val="标题 8 Char"/>
    <w:basedOn w:val="39"/>
    <w:link w:val="9"/>
    <w:qFormat/>
    <w:uiPriority w:val="0"/>
    <w:rPr>
      <w:rFonts w:ascii="Arial" w:hAnsi="Arial" w:eastAsia="黑体" w:cs="Times New Roman"/>
      <w:sz w:val="24"/>
      <w:szCs w:val="20"/>
    </w:rPr>
  </w:style>
  <w:style w:type="character" w:customStyle="1" w:styleId="57">
    <w:name w:val="标题 9 Char"/>
    <w:basedOn w:val="39"/>
    <w:link w:val="10"/>
    <w:qFormat/>
    <w:uiPriority w:val="0"/>
    <w:rPr>
      <w:rFonts w:ascii="Arial" w:hAnsi="Arial" w:eastAsia="黑体" w:cs="Times New Roman"/>
      <w:szCs w:val="20"/>
    </w:rPr>
  </w:style>
  <w:style w:type="character" w:customStyle="1" w:styleId="58">
    <w:name w:val="页眉 Char"/>
    <w:link w:val="23"/>
    <w:qFormat/>
    <w:uiPriority w:val="0"/>
    <w:rPr>
      <w:rFonts w:ascii="Times New Roman" w:hAnsi="Times New Roman" w:eastAsia="宋体" w:cs="Times New Roman"/>
      <w:sz w:val="18"/>
      <w:szCs w:val="24"/>
    </w:rPr>
  </w:style>
  <w:style w:type="character" w:customStyle="1" w:styleId="59">
    <w:name w:val="sect1.2.3 Char"/>
    <w:qFormat/>
    <w:uiPriority w:val="0"/>
    <w:rPr>
      <w:rFonts w:eastAsia="宋体"/>
      <w:b/>
      <w:bCs/>
      <w:kern w:val="2"/>
      <w:sz w:val="32"/>
      <w:szCs w:val="32"/>
      <w:lang w:val="en-US" w:eastAsia="zh-CN" w:bidi="ar-SA"/>
    </w:rPr>
  </w:style>
  <w:style w:type="character" w:customStyle="1" w:styleId="60">
    <w:name w:val="一级条标题 Char"/>
    <w:link w:val="61"/>
    <w:qFormat/>
    <w:uiPriority w:val="0"/>
    <w:rPr>
      <w:rFonts w:ascii="黑体" w:eastAsia="黑体"/>
    </w:rPr>
  </w:style>
  <w:style w:type="paragraph" w:customStyle="1" w:styleId="61">
    <w:name w:val="一级条标题"/>
    <w:link w:val="60"/>
    <w:qFormat/>
    <w:uiPriority w:val="0"/>
    <w:pPr>
      <w:tabs>
        <w:tab w:val="left" w:pos="1260"/>
      </w:tabs>
      <w:ind w:left="1260" w:hanging="420"/>
      <w:outlineLvl w:val="2"/>
    </w:pPr>
    <w:rPr>
      <w:rFonts w:ascii="黑体" w:hAnsi="Calibri" w:eastAsia="黑体" w:cs="宋体"/>
      <w:kern w:val="2"/>
      <w:sz w:val="21"/>
      <w:szCs w:val="22"/>
      <w:lang w:val="en-US" w:eastAsia="zh-CN" w:bidi="ar-SA"/>
    </w:rPr>
  </w:style>
  <w:style w:type="paragraph" w:customStyle="1" w:styleId="62">
    <w:name w:val="段"/>
    <w:link w:val="95"/>
    <w:qFormat/>
    <w:uiPriority w:val="0"/>
    <w:pPr>
      <w:autoSpaceDE w:val="0"/>
      <w:autoSpaceDN w:val="0"/>
      <w:ind w:firstLine="200" w:firstLineChars="200"/>
      <w:jc w:val="both"/>
    </w:pPr>
    <w:rPr>
      <w:rFonts w:ascii="宋体" w:hAnsi="Calibri" w:eastAsia="宋体" w:cs="宋体"/>
      <w:kern w:val="2"/>
      <w:sz w:val="21"/>
      <w:szCs w:val="22"/>
      <w:lang w:val="en-US" w:eastAsia="zh-CN" w:bidi="ar-SA"/>
    </w:rPr>
  </w:style>
  <w:style w:type="character" w:customStyle="1" w:styleId="63">
    <w:name w:val="页脚 Char1"/>
    <w:qFormat/>
    <w:uiPriority w:val="99"/>
    <w:rPr>
      <w:rFonts w:cs="Times New Roman"/>
      <w:kern w:val="2"/>
      <w:sz w:val="18"/>
      <w:szCs w:val="18"/>
    </w:rPr>
  </w:style>
  <w:style w:type="character" w:customStyle="1" w:styleId="64">
    <w:name w:val="纯文本 Char1"/>
    <w:qFormat/>
    <w:uiPriority w:val="0"/>
    <w:rPr>
      <w:rFonts w:ascii="宋体" w:hAnsi="Courier New" w:cs="Courier New"/>
      <w:kern w:val="2"/>
      <w:sz w:val="21"/>
      <w:szCs w:val="21"/>
    </w:rPr>
  </w:style>
  <w:style w:type="character" w:customStyle="1" w:styleId="65">
    <w:name w:val="文档结构图 Char"/>
    <w:link w:val="12"/>
    <w:qFormat/>
    <w:uiPriority w:val="0"/>
    <w:rPr>
      <w:rFonts w:ascii="Times New Roman" w:hAnsi="Times New Roman"/>
      <w:szCs w:val="24"/>
      <w:shd w:val="clear" w:color="auto" w:fill="000080"/>
    </w:rPr>
  </w:style>
  <w:style w:type="character" w:customStyle="1" w:styleId="66">
    <w:name w:val="正文文本缩进 3 Char"/>
    <w:link w:val="26"/>
    <w:qFormat/>
    <w:uiPriority w:val="0"/>
    <w:rPr>
      <w:rFonts w:ascii="Times New Roman" w:hAnsi="Times New Roman"/>
      <w:bCs/>
      <w:sz w:val="24"/>
    </w:rPr>
  </w:style>
  <w:style w:type="character" w:customStyle="1" w:styleId="67">
    <w:name w:val="ca-0"/>
    <w:basedOn w:val="39"/>
    <w:qFormat/>
    <w:uiPriority w:val="0"/>
  </w:style>
  <w:style w:type="character" w:customStyle="1" w:styleId="68">
    <w:name w:val="Header Char1"/>
    <w:qFormat/>
    <w:uiPriority w:val="99"/>
    <w:rPr>
      <w:sz w:val="18"/>
      <w:szCs w:val="18"/>
    </w:rPr>
  </w:style>
  <w:style w:type="paragraph" w:customStyle="1" w:styleId="69">
    <w:name w:val="_Style 30"/>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70">
    <w:name w:val="个人答复风格"/>
    <w:qFormat/>
    <w:uiPriority w:val="0"/>
    <w:rPr>
      <w:rFonts w:ascii="Arial" w:hAnsi="Arial" w:eastAsia="宋体" w:cs="Arial"/>
      <w:color w:val="auto"/>
      <w:sz w:val="20"/>
    </w:rPr>
  </w:style>
  <w:style w:type="character" w:customStyle="1" w:styleId="71">
    <w:name w:val="Char Char1"/>
    <w:qFormat/>
    <w:uiPriority w:val="99"/>
    <w:rPr>
      <w:rFonts w:ascii="宋体" w:hAnsi="宋体" w:eastAsia="宋体" w:cs="Times New Roman"/>
      <w:kern w:val="2"/>
      <w:sz w:val="18"/>
      <w:szCs w:val="18"/>
      <w:lang w:val="en-US" w:eastAsia="zh-CN" w:bidi="ar-SA"/>
    </w:rPr>
  </w:style>
  <w:style w:type="character" w:customStyle="1" w:styleId="72">
    <w:name w:val="纯文本 Char"/>
    <w:link w:val="18"/>
    <w:qFormat/>
    <w:uiPriority w:val="0"/>
    <w:rPr>
      <w:rFonts w:ascii="宋体" w:hAnsi="Courier New" w:eastAsia="宋体" w:cs="Times New Roman"/>
      <w:szCs w:val="20"/>
    </w:rPr>
  </w:style>
  <w:style w:type="character" w:customStyle="1" w:styleId="73">
    <w:name w:val="正文文本 Char"/>
    <w:link w:val="15"/>
    <w:qFormat/>
    <w:uiPriority w:val="0"/>
    <w:rPr>
      <w:rFonts w:ascii="Times New Roman" w:hAnsi="Times New Roman"/>
      <w:szCs w:val="24"/>
    </w:rPr>
  </w:style>
  <w:style w:type="character" w:customStyle="1" w:styleId="74">
    <w:name w:val="页眉 Char1"/>
    <w:qFormat/>
    <w:uiPriority w:val="99"/>
    <w:rPr>
      <w:rFonts w:cs="Times New Roman"/>
      <w:kern w:val="2"/>
      <w:sz w:val="18"/>
      <w:szCs w:val="18"/>
    </w:rPr>
  </w:style>
  <w:style w:type="character" w:customStyle="1" w:styleId="75">
    <w:name w:val="批注主题 Char"/>
    <w:link w:val="34"/>
    <w:qFormat/>
    <w:uiPriority w:val="0"/>
    <w:rPr>
      <w:rFonts w:ascii="Times New Roman" w:hAnsi="Times New Roman"/>
      <w:b/>
      <w:bCs/>
      <w:szCs w:val="24"/>
    </w:rPr>
  </w:style>
  <w:style w:type="character" w:customStyle="1" w:styleId="76">
    <w:name w:val="ca-8"/>
    <w:basedOn w:val="39"/>
    <w:qFormat/>
    <w:uiPriority w:val="0"/>
  </w:style>
  <w:style w:type="character" w:customStyle="1" w:styleId="77">
    <w:name w:val="msoins"/>
    <w:qFormat/>
    <w:uiPriority w:val="0"/>
  </w:style>
  <w:style w:type="character" w:customStyle="1" w:styleId="78">
    <w:name w:val="附录标识 Char"/>
    <w:link w:val="79"/>
    <w:qFormat/>
    <w:uiPriority w:val="0"/>
    <w:rPr>
      <w:rFonts w:ascii="黑体" w:eastAsia="黑体"/>
      <w:shd w:val="clear" w:color="FFFFFF" w:fill="FFFFFF"/>
    </w:rPr>
  </w:style>
  <w:style w:type="paragraph" w:customStyle="1" w:styleId="79">
    <w:name w:val="附录标识"/>
    <w:basedOn w:val="1"/>
    <w:link w:val="78"/>
    <w:qFormat/>
    <w:uiPriority w:val="0"/>
    <w:pPr>
      <w:widowControl/>
      <w:shd w:val="clear" w:color="FFFFFF" w:fill="FFFFFF"/>
      <w:tabs>
        <w:tab w:val="left" w:pos="360"/>
        <w:tab w:val="left" w:pos="6405"/>
      </w:tabs>
      <w:spacing w:before="640" w:after="200"/>
      <w:jc w:val="center"/>
      <w:outlineLvl w:val="0"/>
    </w:pPr>
    <w:rPr>
      <w:rFonts w:ascii="黑体" w:hAnsi="Calibri" w:eastAsia="黑体" w:cs="宋体"/>
      <w:szCs w:val="22"/>
    </w:rPr>
  </w:style>
  <w:style w:type="character" w:customStyle="1" w:styleId="80">
    <w:name w:val="Plain Text Char1"/>
    <w:qFormat/>
    <w:uiPriority w:val="99"/>
    <w:rPr>
      <w:rFonts w:ascii="宋体" w:hAnsi="Courier New" w:cs="Courier New"/>
      <w:szCs w:val="21"/>
    </w:rPr>
  </w:style>
  <w:style w:type="character" w:customStyle="1" w:styleId="81">
    <w:name w:val="HTML 预设格式 Char"/>
    <w:link w:val="30"/>
    <w:qFormat/>
    <w:uiPriority w:val="0"/>
    <w:rPr>
      <w:rFonts w:ascii="黑体" w:hAnsi="Courier New" w:eastAsia="黑体" w:cs="Courier New"/>
    </w:rPr>
  </w:style>
  <w:style w:type="character" w:customStyle="1" w:styleId="82">
    <w:name w:val="Footer Char1"/>
    <w:qFormat/>
    <w:uiPriority w:val="99"/>
    <w:rPr>
      <w:sz w:val="18"/>
      <w:szCs w:val="18"/>
    </w:rPr>
  </w:style>
  <w:style w:type="character" w:customStyle="1" w:styleId="83">
    <w:name w:val="ca-9"/>
    <w:basedOn w:val="39"/>
    <w:qFormat/>
    <w:uiPriority w:val="0"/>
  </w:style>
  <w:style w:type="character" w:customStyle="1" w:styleId="84">
    <w:name w:val="Salutation Char1"/>
    <w:qFormat/>
    <w:uiPriority w:val="99"/>
    <w:rPr>
      <w:szCs w:val="24"/>
    </w:rPr>
  </w:style>
  <w:style w:type="character" w:customStyle="1" w:styleId="85">
    <w:name w:val="页脚 Char"/>
    <w:link w:val="22"/>
    <w:qFormat/>
    <w:uiPriority w:val="0"/>
    <w:rPr>
      <w:rFonts w:ascii="Times New Roman" w:hAnsi="Times New Roman" w:eastAsia="宋体" w:cs="Times New Roman"/>
      <w:sz w:val="18"/>
      <w:szCs w:val="24"/>
    </w:rPr>
  </w:style>
  <w:style w:type="character" w:customStyle="1" w:styleId="86">
    <w:name w:val="日期 Char"/>
    <w:link w:val="19"/>
    <w:qFormat/>
    <w:uiPriority w:val="0"/>
    <w:rPr>
      <w:rFonts w:ascii="Times New Roman" w:hAnsi="Times New Roman" w:eastAsia="宋体" w:cs="Times New Roman"/>
      <w:szCs w:val="24"/>
    </w:rPr>
  </w:style>
  <w:style w:type="character" w:customStyle="1" w:styleId="87">
    <w:name w:val="批注文字 Char"/>
    <w:qFormat/>
    <w:uiPriority w:val="0"/>
    <w:rPr>
      <w:rFonts w:ascii="Times New Roman" w:hAnsi="Times New Roman"/>
      <w:kern w:val="2"/>
      <w:sz w:val="21"/>
      <w:szCs w:val="24"/>
    </w:rPr>
  </w:style>
  <w:style w:type="character" w:customStyle="1" w:styleId="88">
    <w:name w:val="正文文本缩进 Char"/>
    <w:link w:val="16"/>
    <w:qFormat/>
    <w:uiPriority w:val="0"/>
    <w:rPr>
      <w:rFonts w:ascii="宋体" w:hAnsi="宋体" w:eastAsia="宋体" w:cs="Times New Roman"/>
      <w:sz w:val="30"/>
      <w:szCs w:val="24"/>
    </w:rPr>
  </w:style>
  <w:style w:type="character" w:customStyle="1" w:styleId="89">
    <w:name w:val="正文文本 Char1"/>
    <w:qFormat/>
    <w:uiPriority w:val="99"/>
    <w:rPr>
      <w:rFonts w:ascii="Times New Roman" w:hAnsi="Times New Roman"/>
      <w:kern w:val="2"/>
      <w:sz w:val="21"/>
      <w:szCs w:val="24"/>
    </w:rPr>
  </w:style>
  <w:style w:type="character" w:customStyle="1" w:styleId="90">
    <w:name w:val="Char Char3"/>
    <w:qFormat/>
    <w:uiPriority w:val="99"/>
    <w:rPr>
      <w:rFonts w:ascii="宋体" w:hAnsi="Courier New" w:eastAsia="宋体"/>
      <w:kern w:val="2"/>
      <w:sz w:val="21"/>
      <w:lang w:val="en-US" w:eastAsia="zh-CN"/>
    </w:rPr>
  </w:style>
  <w:style w:type="character" w:customStyle="1" w:styleId="91">
    <w:name w:val="称呼 Char1"/>
    <w:qFormat/>
    <w:uiPriority w:val="99"/>
    <w:rPr>
      <w:rFonts w:ascii="Times New Roman" w:hAnsi="Times New Roman" w:eastAsia="宋体" w:cs="Times New Roman"/>
      <w:szCs w:val="24"/>
    </w:rPr>
  </w:style>
  <w:style w:type="character" w:customStyle="1" w:styleId="92">
    <w:name w:val="正文文本 2 Char"/>
    <w:link w:val="29"/>
    <w:qFormat/>
    <w:uiPriority w:val="0"/>
    <w:rPr>
      <w:rFonts w:ascii="Times New Roman" w:hAnsi="Times New Roman"/>
      <w:b/>
      <w:sz w:val="24"/>
    </w:rPr>
  </w:style>
  <w:style w:type="character" w:customStyle="1" w:styleId="93">
    <w:name w:val="标题 Char"/>
    <w:link w:val="33"/>
    <w:qFormat/>
    <w:uiPriority w:val="0"/>
    <w:rPr>
      <w:rFonts w:ascii="黑体" w:hAnsi="Times New Roman" w:eastAsia="黑体" w:cs="Times New Roman"/>
      <w:b/>
      <w:sz w:val="36"/>
      <w:szCs w:val="20"/>
    </w:rPr>
  </w:style>
  <w:style w:type="character" w:customStyle="1" w:styleId="94">
    <w:name w:val="称呼 Char"/>
    <w:link w:val="14"/>
    <w:qFormat/>
    <w:uiPriority w:val="0"/>
    <w:rPr>
      <w:sz w:val="24"/>
    </w:rPr>
  </w:style>
  <w:style w:type="character" w:customStyle="1" w:styleId="95">
    <w:name w:val="段 Char"/>
    <w:link w:val="62"/>
    <w:qFormat/>
    <w:uiPriority w:val="0"/>
    <w:rPr>
      <w:rFonts w:ascii="宋体"/>
    </w:rPr>
  </w:style>
  <w:style w:type="character" w:customStyle="1" w:styleId="96">
    <w:name w:val="Char Char"/>
    <w:qFormat/>
    <w:uiPriority w:val="99"/>
    <w:rPr>
      <w:rFonts w:ascii="宋体" w:hAnsi="宋体" w:eastAsia="宋体" w:cs="Times New Roman"/>
      <w:kern w:val="2"/>
      <w:sz w:val="24"/>
      <w:lang w:val="en-US" w:eastAsia="zh-CN" w:bidi="ar-SA"/>
    </w:rPr>
  </w:style>
  <w:style w:type="character" w:customStyle="1" w:styleId="97">
    <w:name w:val="样式2 Char Char"/>
    <w:qFormat/>
    <w:uiPriority w:val="0"/>
    <w:rPr>
      <w:rFonts w:eastAsia="宋体"/>
      <w:kern w:val="2"/>
      <w:sz w:val="18"/>
      <w:szCs w:val="18"/>
      <w:lang w:val="en-US" w:eastAsia="zh-CN" w:bidi="ar-SA"/>
    </w:rPr>
  </w:style>
  <w:style w:type="character" w:customStyle="1" w:styleId="98">
    <w:name w:val="批注框文本 Char"/>
    <w:link w:val="21"/>
    <w:qFormat/>
    <w:uiPriority w:val="0"/>
    <w:rPr>
      <w:rFonts w:ascii="Times New Roman" w:hAnsi="Times New Roman" w:eastAsia="宋体" w:cs="Times New Roman"/>
      <w:sz w:val="18"/>
      <w:szCs w:val="18"/>
    </w:rPr>
  </w:style>
  <w:style w:type="character" w:customStyle="1" w:styleId="99">
    <w:name w:val="正文文本缩进 2 Char"/>
    <w:link w:val="20"/>
    <w:qFormat/>
    <w:uiPriority w:val="0"/>
    <w:rPr>
      <w:rFonts w:ascii="Times New Roman" w:hAnsi="Times New Roman" w:eastAsia="宋体" w:cs="Times New Roman"/>
      <w:szCs w:val="24"/>
    </w:rPr>
  </w:style>
  <w:style w:type="paragraph" w:customStyle="1" w:styleId="100">
    <w:name w:val="xl67"/>
    <w:basedOn w:val="1"/>
    <w:qFormat/>
    <w:uiPriority w:val="0"/>
    <w:pPr>
      <w:widowControl/>
      <w:spacing w:before="100" w:beforeAutospacing="1" w:after="100" w:afterAutospacing="1"/>
      <w:jc w:val="left"/>
    </w:pPr>
    <w:rPr>
      <w:rFonts w:ascii="宋体" w:hAnsi="宋体" w:cs="宋体"/>
      <w:kern w:val="0"/>
      <w:sz w:val="24"/>
    </w:rPr>
  </w:style>
  <w:style w:type="character" w:customStyle="1" w:styleId="101">
    <w:name w:val="正文文本 Char2"/>
    <w:basedOn w:val="39"/>
    <w:qFormat/>
    <w:uiPriority w:val="99"/>
    <w:rPr>
      <w:rFonts w:ascii="Times New Roman" w:hAnsi="Times New Roman" w:eastAsia="宋体" w:cs="Times New Roman"/>
      <w:szCs w:val="24"/>
    </w:rPr>
  </w:style>
  <w:style w:type="paragraph" w:customStyle="1" w:styleId="102">
    <w:name w:val="正文（首行缩进2字符）"/>
    <w:basedOn w:val="1"/>
    <w:qFormat/>
    <w:uiPriority w:val="0"/>
    <w:pPr>
      <w:spacing w:line="360" w:lineRule="auto"/>
      <w:ind w:firstLine="480" w:firstLineChars="200"/>
    </w:pPr>
    <w:rPr>
      <w:sz w:val="24"/>
      <w:szCs w:val="20"/>
    </w:rPr>
  </w:style>
  <w:style w:type="paragraph" w:customStyle="1" w:styleId="103">
    <w:name w:val="附录表标题"/>
    <w:qFormat/>
    <w:uiPriority w:val="0"/>
    <w:pPr>
      <w:tabs>
        <w:tab w:val="left" w:pos="360"/>
      </w:tabs>
      <w:jc w:val="center"/>
    </w:pPr>
    <w:rPr>
      <w:rFonts w:ascii="黑体" w:hAnsi="Times New Roman" w:eastAsia="黑体" w:cs="Times New Roman"/>
      <w:kern w:val="21"/>
      <w:sz w:val="21"/>
      <w:lang w:val="en-US" w:eastAsia="zh-CN" w:bidi="ar-SA"/>
    </w:rPr>
  </w:style>
  <w:style w:type="character" w:customStyle="1" w:styleId="104">
    <w:name w:val="批注框文本 Char1"/>
    <w:basedOn w:val="39"/>
    <w:qFormat/>
    <w:uiPriority w:val="99"/>
    <w:rPr>
      <w:rFonts w:ascii="Times New Roman" w:hAnsi="Times New Roman" w:eastAsia="宋体" w:cs="Times New Roman"/>
      <w:sz w:val="18"/>
      <w:szCs w:val="18"/>
    </w:rPr>
  </w:style>
  <w:style w:type="paragraph" w:customStyle="1" w:styleId="105">
    <w:name w:val="附录一级条标题"/>
    <w:basedOn w:val="1"/>
    <w:qFormat/>
    <w:uiPriority w:val="0"/>
    <w:pPr>
      <w:widowControl/>
      <w:wordWrap w:val="0"/>
      <w:overflowPunct w:val="0"/>
      <w:autoSpaceDE w:val="0"/>
      <w:autoSpaceDN w:val="0"/>
      <w:ind w:left="6480"/>
      <w:outlineLvl w:val="2"/>
    </w:pPr>
    <w:rPr>
      <w:rFonts w:ascii="黑体" w:eastAsia="黑体"/>
      <w:kern w:val="21"/>
      <w:szCs w:val="20"/>
    </w:rPr>
  </w:style>
  <w:style w:type="character" w:customStyle="1" w:styleId="106">
    <w:name w:val="正文文本缩进 3 Char1"/>
    <w:basedOn w:val="39"/>
    <w:qFormat/>
    <w:uiPriority w:val="99"/>
    <w:rPr>
      <w:rFonts w:ascii="Times New Roman" w:hAnsi="Times New Roman" w:eastAsia="宋体" w:cs="Times New Roman"/>
      <w:sz w:val="16"/>
      <w:szCs w:val="16"/>
    </w:rPr>
  </w:style>
  <w:style w:type="character" w:customStyle="1" w:styleId="107">
    <w:name w:val="文档结构图 Char1"/>
    <w:basedOn w:val="39"/>
    <w:qFormat/>
    <w:uiPriority w:val="99"/>
    <w:rPr>
      <w:rFonts w:ascii="宋体" w:hAnsi="Times New Roman" w:eastAsia="宋体" w:cs="Times New Roman"/>
      <w:sz w:val="18"/>
      <w:szCs w:val="18"/>
    </w:rPr>
  </w:style>
  <w:style w:type="character" w:customStyle="1" w:styleId="108">
    <w:name w:val="页眉 Char2"/>
    <w:basedOn w:val="39"/>
    <w:qFormat/>
    <w:uiPriority w:val="99"/>
    <w:rPr>
      <w:rFonts w:ascii="Times New Roman" w:hAnsi="Times New Roman" w:eastAsia="宋体" w:cs="Times New Roman"/>
      <w:sz w:val="18"/>
      <w:szCs w:val="18"/>
    </w:rPr>
  </w:style>
  <w:style w:type="character" w:customStyle="1" w:styleId="109">
    <w:name w:val="日期 Char1"/>
    <w:basedOn w:val="39"/>
    <w:qFormat/>
    <w:uiPriority w:val="99"/>
    <w:rPr>
      <w:rFonts w:ascii="Times New Roman" w:hAnsi="Times New Roman" w:eastAsia="宋体" w:cs="Times New Roman"/>
      <w:szCs w:val="24"/>
    </w:rPr>
  </w:style>
  <w:style w:type="paragraph" w:styleId="110">
    <w:name w:val="List Paragraph"/>
    <w:basedOn w:val="1"/>
    <w:link w:val="190"/>
    <w:qFormat/>
    <w:uiPriority w:val="34"/>
    <w:pPr>
      <w:ind w:firstLine="420" w:firstLineChars="200"/>
    </w:pPr>
  </w:style>
  <w:style w:type="character" w:customStyle="1" w:styleId="111">
    <w:name w:val="称呼 Char2"/>
    <w:basedOn w:val="39"/>
    <w:qFormat/>
    <w:uiPriority w:val="99"/>
    <w:rPr>
      <w:rFonts w:ascii="Times New Roman" w:hAnsi="Times New Roman" w:eastAsia="宋体" w:cs="Times New Roman"/>
      <w:szCs w:val="24"/>
    </w:rPr>
  </w:style>
  <w:style w:type="paragraph" w:customStyle="1" w:styleId="112">
    <w:name w:val="xl82"/>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13">
    <w:name w:val="xl91"/>
    <w:basedOn w:val="1"/>
    <w:qFormat/>
    <w:uiPriority w:val="0"/>
    <w:pPr>
      <w:widowControl/>
      <w:pBdr>
        <w:left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14">
    <w:name w:val="二级条标题"/>
    <w:basedOn w:val="61"/>
    <w:qFormat/>
    <w:uiPriority w:val="0"/>
    <w:pPr>
      <w:tabs>
        <w:tab w:val="clear" w:pos="1260"/>
      </w:tabs>
      <w:ind w:left="0" w:firstLine="0"/>
      <w:outlineLvl w:val="3"/>
    </w:pPr>
    <w:rPr>
      <w:rFonts w:ascii="Times New Roman"/>
      <w:kern w:val="0"/>
      <w:szCs w:val="20"/>
    </w:rPr>
  </w:style>
  <w:style w:type="character" w:customStyle="1" w:styleId="115">
    <w:name w:val="批注文字 Char1"/>
    <w:basedOn w:val="39"/>
    <w:link w:val="13"/>
    <w:qFormat/>
    <w:uiPriority w:val="99"/>
    <w:rPr>
      <w:rFonts w:ascii="Times New Roman" w:hAnsi="Times New Roman" w:eastAsia="宋体" w:cs="Times New Roman"/>
      <w:szCs w:val="24"/>
    </w:rPr>
  </w:style>
  <w:style w:type="character" w:customStyle="1" w:styleId="116">
    <w:name w:val="批注主题 Char1"/>
    <w:basedOn w:val="115"/>
    <w:qFormat/>
    <w:uiPriority w:val="99"/>
    <w:rPr>
      <w:rFonts w:ascii="Times New Roman" w:hAnsi="Times New Roman" w:eastAsia="宋体" w:cs="Times New Roman"/>
      <w:b/>
      <w:bCs/>
      <w:szCs w:val="24"/>
    </w:rPr>
  </w:style>
  <w:style w:type="paragraph" w:customStyle="1" w:styleId="11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118">
    <w:name w:val="三级条标题"/>
    <w:basedOn w:val="114"/>
    <w:qFormat/>
    <w:uiPriority w:val="0"/>
    <w:pPr>
      <w:outlineLvl w:val="4"/>
    </w:pPr>
  </w:style>
  <w:style w:type="paragraph" w:customStyle="1" w:styleId="119">
    <w:name w:val="自定义标题 4"/>
    <w:basedOn w:val="1"/>
    <w:qFormat/>
    <w:uiPriority w:val="99"/>
    <w:pPr>
      <w:tabs>
        <w:tab w:val="left" w:pos="403"/>
      </w:tabs>
      <w:ind w:firstLine="400"/>
    </w:pPr>
    <w:rPr>
      <w:sz w:val="24"/>
    </w:rPr>
  </w:style>
  <w:style w:type="paragraph" w:customStyle="1" w:styleId="120">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character" w:customStyle="1" w:styleId="121">
    <w:name w:val="标题 Char1"/>
    <w:basedOn w:val="39"/>
    <w:qFormat/>
    <w:uiPriority w:val="10"/>
    <w:rPr>
      <w:rFonts w:ascii="Cambria" w:hAnsi="Cambria" w:eastAsia="宋体" w:cs="宋体"/>
      <w:b/>
      <w:bCs/>
      <w:sz w:val="32"/>
      <w:szCs w:val="32"/>
    </w:rPr>
  </w:style>
  <w:style w:type="paragraph" w:customStyle="1" w:styleId="122">
    <w:name w:val="附录三级条标题"/>
    <w:basedOn w:val="123"/>
    <w:qFormat/>
    <w:uiPriority w:val="0"/>
    <w:pPr>
      <w:tabs>
        <w:tab w:val="left" w:pos="1680"/>
      </w:tabs>
      <w:ind w:left="1680" w:hanging="420"/>
      <w:outlineLvl w:val="4"/>
    </w:pPr>
  </w:style>
  <w:style w:type="paragraph" w:customStyle="1" w:styleId="123">
    <w:name w:val="附录二级条标题"/>
    <w:basedOn w:val="105"/>
    <w:qFormat/>
    <w:uiPriority w:val="0"/>
    <w:pPr>
      <w:outlineLvl w:val="3"/>
    </w:pPr>
  </w:style>
  <w:style w:type="character" w:customStyle="1" w:styleId="124">
    <w:name w:val="纯文本 Char2"/>
    <w:basedOn w:val="39"/>
    <w:qFormat/>
    <w:uiPriority w:val="99"/>
    <w:rPr>
      <w:rFonts w:ascii="宋体" w:hAnsi="Courier New" w:eastAsia="宋体" w:cs="Courier New"/>
      <w:szCs w:val="21"/>
    </w:rPr>
  </w:style>
  <w:style w:type="paragraph" w:customStyle="1" w:styleId="125">
    <w:name w:val="xl78"/>
    <w:basedOn w:val="1"/>
    <w:qFormat/>
    <w:uiPriority w:val="0"/>
    <w:pPr>
      <w:widowControl/>
      <w:pBdr>
        <w:top w:val="single" w:color="auto" w:sz="4" w:space="0"/>
      </w:pBdr>
      <w:spacing w:before="100" w:beforeAutospacing="1" w:after="100" w:afterAutospacing="1"/>
      <w:jc w:val="left"/>
    </w:pPr>
    <w:rPr>
      <w:rFonts w:ascii="宋体" w:hAnsi="宋体" w:cs="宋体"/>
      <w:color w:val="000000"/>
      <w:kern w:val="0"/>
      <w:sz w:val="24"/>
    </w:rPr>
  </w:style>
  <w:style w:type="paragraph" w:customStyle="1" w:styleId="126">
    <w:name w:val="xl8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27">
    <w:name w:val="xl86"/>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128">
    <w:name w:val="my标题"/>
    <w:basedOn w:val="33"/>
    <w:qFormat/>
    <w:uiPriority w:val="0"/>
    <w:pPr>
      <w:widowControl/>
      <w:tabs>
        <w:tab w:val="left" w:pos="558"/>
      </w:tabs>
      <w:spacing w:beforeLines="100" w:after="100" w:afterAutospacing="1" w:line="360" w:lineRule="auto"/>
      <w:ind w:left="558" w:hanging="360"/>
      <w:jc w:val="left"/>
    </w:pPr>
    <w:rPr>
      <w:rFonts w:ascii="Verdana" w:hAnsi="Verdana"/>
      <w:b w:val="0"/>
      <w:sz w:val="20"/>
      <w:lang w:eastAsia="en-US"/>
    </w:rPr>
  </w:style>
  <w:style w:type="paragraph" w:customStyle="1" w:styleId="129">
    <w:name w:val="xl9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130">
    <w:name w:val="xl84"/>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character" w:customStyle="1" w:styleId="131">
    <w:name w:val="正文文本 2 Char1"/>
    <w:basedOn w:val="39"/>
    <w:qFormat/>
    <w:uiPriority w:val="99"/>
    <w:rPr>
      <w:rFonts w:ascii="Times New Roman" w:hAnsi="Times New Roman" w:eastAsia="宋体" w:cs="Times New Roman"/>
      <w:szCs w:val="24"/>
    </w:rPr>
  </w:style>
  <w:style w:type="paragraph" w:customStyle="1" w:styleId="132">
    <w:name w:val="pa-10"/>
    <w:basedOn w:val="1"/>
    <w:qFormat/>
    <w:uiPriority w:val="0"/>
    <w:pPr>
      <w:widowControl/>
      <w:spacing w:before="150" w:after="150"/>
      <w:jc w:val="left"/>
    </w:pPr>
    <w:rPr>
      <w:rFonts w:ascii="宋体" w:hAnsi="宋体" w:cs="宋体"/>
      <w:kern w:val="0"/>
      <w:sz w:val="24"/>
    </w:rPr>
  </w:style>
  <w:style w:type="character" w:customStyle="1" w:styleId="133">
    <w:name w:val="HTML 预设格式 Char1"/>
    <w:basedOn w:val="39"/>
    <w:qFormat/>
    <w:uiPriority w:val="99"/>
    <w:rPr>
      <w:rFonts w:ascii="Courier New" w:hAnsi="Courier New" w:eastAsia="宋体" w:cs="Courier New"/>
      <w:sz w:val="20"/>
      <w:szCs w:val="20"/>
    </w:rPr>
  </w:style>
  <w:style w:type="paragraph" w:customStyle="1" w:styleId="134">
    <w:name w:val="Char Char2"/>
    <w:basedOn w:val="12"/>
    <w:qFormat/>
    <w:uiPriority w:val="0"/>
    <w:pPr>
      <w:spacing w:line="360" w:lineRule="auto"/>
    </w:pPr>
    <w:rPr>
      <w:rFonts w:ascii="Tahoma" w:hAnsi="Tahoma"/>
      <w:sz w:val="24"/>
    </w:rPr>
  </w:style>
  <w:style w:type="paragraph" w:customStyle="1" w:styleId="135">
    <w:name w:val="彩色列表 - 着色 11"/>
    <w:basedOn w:val="1"/>
    <w:qFormat/>
    <w:uiPriority w:val="34"/>
    <w:pPr>
      <w:ind w:firstLine="420" w:firstLineChars="200"/>
    </w:pPr>
    <w:rPr>
      <w:rFonts w:ascii="Calibri" w:hAnsi="Calibri"/>
      <w:szCs w:val="22"/>
    </w:rPr>
  </w:style>
  <w:style w:type="paragraph" w:customStyle="1" w:styleId="136">
    <w:name w:val="四级条标题"/>
    <w:basedOn w:val="118"/>
    <w:qFormat/>
    <w:uiPriority w:val="0"/>
    <w:pPr>
      <w:outlineLvl w:val="5"/>
    </w:pPr>
  </w:style>
  <w:style w:type="paragraph" w:customStyle="1" w:styleId="137">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18"/>
      <w:szCs w:val="18"/>
    </w:rPr>
  </w:style>
  <w:style w:type="paragraph" w:customStyle="1" w:styleId="138">
    <w:name w:val="pa-84"/>
    <w:basedOn w:val="1"/>
    <w:qFormat/>
    <w:uiPriority w:val="0"/>
    <w:pPr>
      <w:widowControl/>
      <w:spacing w:before="150" w:after="150"/>
      <w:jc w:val="left"/>
    </w:pPr>
    <w:rPr>
      <w:rFonts w:ascii="宋体" w:hAnsi="宋体" w:cs="宋体"/>
      <w:kern w:val="0"/>
      <w:sz w:val="24"/>
    </w:rPr>
  </w:style>
  <w:style w:type="paragraph" w:customStyle="1" w:styleId="139">
    <w:name w:val="Char Char1 Char"/>
    <w:basedOn w:val="1"/>
    <w:qFormat/>
    <w:uiPriority w:val="0"/>
    <w:pPr>
      <w:ind w:left="100" w:leftChars="100" w:right="100" w:rightChars="100"/>
    </w:pPr>
    <w:rPr>
      <w:rFonts w:ascii="Tahoma" w:hAnsi="Tahoma"/>
      <w:sz w:val="24"/>
      <w:szCs w:val="20"/>
    </w:rPr>
  </w:style>
  <w:style w:type="character" w:customStyle="1" w:styleId="140">
    <w:name w:val="页脚 Char2"/>
    <w:basedOn w:val="39"/>
    <w:qFormat/>
    <w:uiPriority w:val="99"/>
    <w:rPr>
      <w:rFonts w:ascii="Times New Roman" w:hAnsi="Times New Roman" w:eastAsia="宋体" w:cs="Times New Roman"/>
      <w:sz w:val="18"/>
      <w:szCs w:val="18"/>
    </w:rPr>
  </w:style>
  <w:style w:type="paragraph" w:customStyle="1" w:styleId="14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142">
    <w:name w:val="xl79"/>
    <w:basedOn w:val="1"/>
    <w:qFormat/>
    <w:uiPriority w:val="0"/>
    <w:pPr>
      <w:widowControl/>
      <w:pBdr>
        <w:top w:val="single" w:color="auto" w:sz="4" w:space="0"/>
      </w:pBdr>
      <w:spacing w:before="100" w:beforeAutospacing="1" w:after="100" w:afterAutospacing="1"/>
      <w:jc w:val="left"/>
    </w:pPr>
    <w:rPr>
      <w:rFonts w:ascii="宋体" w:hAnsi="宋体" w:cs="宋体"/>
      <w:kern w:val="0"/>
      <w:sz w:val="24"/>
    </w:rPr>
  </w:style>
  <w:style w:type="paragraph" w:customStyle="1" w:styleId="143">
    <w:name w:val="xl51"/>
    <w:basedOn w:val="1"/>
    <w:qFormat/>
    <w:uiPriority w:val="0"/>
    <w:pPr>
      <w:widowControl/>
      <w:pBdr>
        <w:bottom w:val="single" w:color="auto" w:sz="4" w:space="0"/>
        <w:right w:val="single" w:color="auto" w:sz="4" w:space="0"/>
      </w:pBdr>
      <w:spacing w:before="100" w:beforeAutospacing="1" w:after="100" w:afterAutospacing="1"/>
    </w:pPr>
    <w:rPr>
      <w:rFonts w:ascii="Arial" w:hAnsi="Arial" w:eastAsia="Arial Unicode MS" w:cs="Arial"/>
      <w:kern w:val="0"/>
      <w:szCs w:val="21"/>
    </w:rPr>
  </w:style>
  <w:style w:type="paragraph" w:customStyle="1" w:styleId="144">
    <w:name w:val="xl8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character" w:customStyle="1" w:styleId="145">
    <w:name w:val="正文文本缩进 Char1"/>
    <w:basedOn w:val="39"/>
    <w:qFormat/>
    <w:uiPriority w:val="99"/>
    <w:rPr>
      <w:rFonts w:ascii="Times New Roman" w:hAnsi="Times New Roman" w:eastAsia="宋体" w:cs="Times New Roman"/>
      <w:szCs w:val="24"/>
    </w:rPr>
  </w:style>
  <w:style w:type="character" w:customStyle="1" w:styleId="146">
    <w:name w:val="正文文本缩进 2 Char1"/>
    <w:basedOn w:val="39"/>
    <w:qFormat/>
    <w:uiPriority w:val="99"/>
    <w:rPr>
      <w:rFonts w:ascii="Times New Roman" w:hAnsi="Times New Roman" w:eastAsia="宋体" w:cs="Times New Roman"/>
      <w:szCs w:val="24"/>
    </w:rPr>
  </w:style>
  <w:style w:type="paragraph" w:customStyle="1" w:styleId="147">
    <w:name w:val="附录图标题"/>
    <w:qFormat/>
    <w:uiPriority w:val="0"/>
    <w:pPr>
      <w:tabs>
        <w:tab w:val="left" w:pos="720"/>
      </w:tabs>
      <w:ind w:left="720" w:hanging="720"/>
      <w:jc w:val="center"/>
    </w:pPr>
    <w:rPr>
      <w:rFonts w:ascii="黑体" w:hAnsi="Times New Roman" w:eastAsia="黑体" w:cs="Times New Roman"/>
      <w:sz w:val="21"/>
      <w:lang w:val="en-US" w:eastAsia="zh-CN" w:bidi="ar-SA"/>
    </w:rPr>
  </w:style>
  <w:style w:type="paragraph" w:customStyle="1" w:styleId="148">
    <w:name w:val="1级编号正文缩进"/>
    <w:basedOn w:val="15"/>
    <w:qFormat/>
    <w:uiPriority w:val="0"/>
    <w:pPr>
      <w:tabs>
        <w:tab w:val="left" w:pos="360"/>
      </w:tabs>
      <w:spacing w:line="300" w:lineRule="auto"/>
      <w:ind w:left="360" w:hanging="360"/>
    </w:pPr>
    <w:rPr>
      <w:sz w:val="24"/>
      <w:lang w:bidi="he-IL"/>
    </w:rPr>
  </w:style>
  <w:style w:type="paragraph" w:customStyle="1" w:styleId="149">
    <w:name w:val="默认段落字体 Para Char"/>
    <w:basedOn w:val="1"/>
    <w:qFormat/>
    <w:uiPriority w:val="0"/>
    <w:pPr>
      <w:spacing w:line="360" w:lineRule="auto"/>
    </w:pPr>
    <w:rPr>
      <w:rFonts w:ascii="Tahoma" w:hAnsi="Tahoma"/>
      <w:sz w:val="24"/>
      <w:szCs w:val="20"/>
    </w:rPr>
  </w:style>
  <w:style w:type="paragraph" w:customStyle="1" w:styleId="150">
    <w:name w:val="xl6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18"/>
      <w:szCs w:val="18"/>
    </w:rPr>
  </w:style>
  <w:style w:type="paragraph" w:customStyle="1" w:styleId="151">
    <w:name w:val="Char Char1 Char11"/>
    <w:basedOn w:val="1"/>
    <w:qFormat/>
    <w:uiPriority w:val="0"/>
    <w:pPr>
      <w:ind w:left="100" w:leftChars="100" w:right="100" w:rightChars="100"/>
    </w:pPr>
    <w:rPr>
      <w:rFonts w:ascii="Tahoma" w:hAnsi="Tahoma"/>
      <w:sz w:val="24"/>
      <w:szCs w:val="20"/>
    </w:rPr>
  </w:style>
  <w:style w:type="paragraph" w:customStyle="1" w:styleId="152">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153">
    <w:name w:val="Chart_body"/>
    <w:basedOn w:val="1"/>
    <w:qFormat/>
    <w:uiPriority w:val="0"/>
    <w:pPr>
      <w:widowControl/>
      <w:spacing w:after="60" w:line="240" w:lineRule="exact"/>
      <w:jc w:val="left"/>
    </w:pPr>
    <w:rPr>
      <w:rFonts w:ascii="Helvetica" w:hAnsi="Helvetica"/>
      <w:color w:val="000000"/>
      <w:kern w:val="0"/>
      <w:sz w:val="16"/>
      <w:szCs w:val="20"/>
      <w:lang w:eastAsia="en-US"/>
    </w:rPr>
  </w:style>
  <w:style w:type="paragraph" w:customStyle="1" w:styleId="154">
    <w:name w:val="样式"/>
    <w:basedOn w:val="1"/>
    <w:qFormat/>
    <w:uiPriority w:val="0"/>
    <w:pPr>
      <w:ind w:left="572" w:right="32" w:firstLine="478"/>
    </w:pPr>
    <w:rPr>
      <w:szCs w:val="21"/>
    </w:rPr>
  </w:style>
  <w:style w:type="paragraph" w:customStyle="1" w:styleId="155">
    <w:name w:val="p0"/>
    <w:basedOn w:val="1"/>
    <w:link w:val="198"/>
    <w:qFormat/>
    <w:uiPriority w:val="0"/>
    <w:pPr>
      <w:widowControl/>
    </w:pPr>
    <w:rPr>
      <w:kern w:val="0"/>
      <w:szCs w:val="21"/>
    </w:rPr>
  </w:style>
  <w:style w:type="paragraph" w:customStyle="1" w:styleId="156">
    <w:name w:val="xl8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157">
    <w:name w:val="缩进 Char"/>
    <w:basedOn w:val="11"/>
    <w:qFormat/>
    <w:uiPriority w:val="0"/>
    <w:pPr>
      <w:spacing w:beforeLines="50" w:afterLines="50" w:line="360" w:lineRule="auto"/>
      <w:ind w:firstLine="480" w:firstLineChars="200"/>
    </w:pPr>
    <w:rPr>
      <w:rFonts w:ascii="Tahoma" w:hAnsi="Tahoma"/>
    </w:rPr>
  </w:style>
  <w:style w:type="paragraph" w:customStyle="1" w:styleId="15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159">
    <w:name w:val="xl88"/>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160">
    <w:name w:val="pa-9"/>
    <w:basedOn w:val="1"/>
    <w:qFormat/>
    <w:uiPriority w:val="0"/>
    <w:pPr>
      <w:widowControl/>
      <w:spacing w:before="150" w:after="150"/>
      <w:jc w:val="left"/>
    </w:pPr>
    <w:rPr>
      <w:rFonts w:ascii="宋体" w:hAnsi="宋体" w:cs="宋体"/>
      <w:kern w:val="0"/>
      <w:sz w:val="24"/>
    </w:rPr>
  </w:style>
  <w:style w:type="paragraph" w:customStyle="1" w:styleId="161">
    <w:name w:val="列出段落2"/>
    <w:basedOn w:val="1"/>
    <w:qFormat/>
    <w:uiPriority w:val="99"/>
    <w:pPr>
      <w:ind w:firstLine="420" w:firstLineChars="200"/>
    </w:pPr>
  </w:style>
  <w:style w:type="paragraph" w:customStyle="1" w:styleId="162">
    <w:name w:val="xl8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163">
    <w:name w:val="前言、引言标题"/>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64">
    <w:name w:val="Char1"/>
    <w:basedOn w:val="1"/>
    <w:qFormat/>
    <w:uiPriority w:val="0"/>
    <w:rPr>
      <w:szCs w:val="20"/>
    </w:rPr>
  </w:style>
  <w:style w:type="paragraph" w:customStyle="1" w:styleId="165">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166">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67">
    <w:name w:val="Char Char Char Char"/>
    <w:basedOn w:val="1"/>
    <w:qFormat/>
    <w:uiPriority w:val="0"/>
    <w:pPr>
      <w:widowControl/>
      <w:spacing w:after="160" w:line="240" w:lineRule="exact"/>
      <w:jc w:val="left"/>
    </w:pPr>
    <w:rPr>
      <w:szCs w:val="20"/>
    </w:rPr>
  </w:style>
  <w:style w:type="paragraph" w:customStyle="1" w:styleId="168">
    <w:name w:val="附录四级条标题"/>
    <w:basedOn w:val="122"/>
    <w:qFormat/>
    <w:uiPriority w:val="0"/>
    <w:pPr>
      <w:tabs>
        <w:tab w:val="clear" w:pos="1680"/>
      </w:tabs>
      <w:ind w:left="2100"/>
      <w:outlineLvl w:val="5"/>
    </w:pPr>
  </w:style>
  <w:style w:type="paragraph" w:customStyle="1" w:styleId="169">
    <w:name w:val="pa-15"/>
    <w:basedOn w:val="1"/>
    <w:qFormat/>
    <w:uiPriority w:val="0"/>
    <w:pPr>
      <w:widowControl/>
      <w:spacing w:before="150" w:after="150"/>
      <w:jc w:val="left"/>
    </w:pPr>
    <w:rPr>
      <w:rFonts w:ascii="宋体" w:hAnsi="宋体" w:cs="宋体"/>
      <w:kern w:val="0"/>
      <w:sz w:val="24"/>
    </w:rPr>
  </w:style>
  <w:style w:type="paragraph" w:customStyle="1" w:styleId="170">
    <w:name w:val="章标题"/>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171">
    <w:name w:val="Char Char1 Char1"/>
    <w:basedOn w:val="1"/>
    <w:qFormat/>
    <w:uiPriority w:val="99"/>
    <w:pPr>
      <w:ind w:left="100" w:leftChars="100" w:right="100" w:rightChars="100"/>
    </w:pPr>
    <w:rPr>
      <w:rFonts w:ascii="Tahoma" w:hAnsi="Tahoma"/>
      <w:sz w:val="24"/>
      <w:szCs w:val="20"/>
    </w:rPr>
  </w:style>
  <w:style w:type="paragraph" w:customStyle="1" w:styleId="172">
    <w:name w:val="font7"/>
    <w:basedOn w:val="1"/>
    <w:qFormat/>
    <w:uiPriority w:val="0"/>
    <w:pPr>
      <w:widowControl/>
      <w:spacing w:before="100" w:beforeAutospacing="1" w:after="100" w:afterAutospacing="1"/>
      <w:jc w:val="left"/>
    </w:pPr>
    <w:rPr>
      <w:color w:val="000000"/>
      <w:kern w:val="0"/>
      <w:sz w:val="20"/>
      <w:szCs w:val="20"/>
    </w:rPr>
  </w:style>
  <w:style w:type="paragraph" w:customStyle="1" w:styleId="173">
    <w:name w:val="font6"/>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74">
    <w:name w:val="Body"/>
    <w:qFormat/>
    <w:uiPriority w:val="0"/>
    <w:pPr>
      <w:tabs>
        <w:tab w:val="left" w:pos="0"/>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hAnsi="Times" w:eastAsia="宋体" w:cs="Times New Roman"/>
      <w:color w:val="000000"/>
      <w:sz w:val="18"/>
      <w:lang w:val="en-US" w:eastAsia="en-US" w:bidi="ar-SA"/>
    </w:rPr>
  </w:style>
  <w:style w:type="paragraph" w:customStyle="1" w:styleId="17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6">
    <w:name w:val="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77">
    <w:name w:val="xl92"/>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17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179">
    <w:name w:val="自定义标题 1"/>
    <w:basedOn w:val="1"/>
    <w:qFormat/>
    <w:uiPriority w:val="99"/>
    <w:pPr>
      <w:tabs>
        <w:tab w:val="left" w:pos="420"/>
      </w:tabs>
      <w:ind w:left="420" w:hanging="420"/>
    </w:pPr>
  </w:style>
  <w:style w:type="paragraph" w:customStyle="1" w:styleId="180">
    <w:name w:val="样式4"/>
    <w:basedOn w:val="24"/>
    <w:qFormat/>
    <w:uiPriority w:val="0"/>
    <w:pPr>
      <w:tabs>
        <w:tab w:val="left" w:pos="360"/>
        <w:tab w:val="right" w:leader="dot" w:pos="9458"/>
      </w:tabs>
      <w:jc w:val="left"/>
    </w:pPr>
    <w:rPr>
      <w:b w:val="0"/>
      <w:bCs/>
      <w:caps/>
      <w:sz w:val="21"/>
      <w:szCs w:val="24"/>
    </w:rPr>
  </w:style>
  <w:style w:type="paragraph" w:customStyle="1" w:styleId="181">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82">
    <w:name w:val="五级条标题"/>
    <w:basedOn w:val="136"/>
    <w:qFormat/>
    <w:uiPriority w:val="0"/>
    <w:pPr>
      <w:outlineLvl w:val="6"/>
    </w:pPr>
  </w:style>
  <w:style w:type="paragraph" w:customStyle="1" w:styleId="18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4"/>
    </w:rPr>
  </w:style>
  <w:style w:type="paragraph" w:customStyle="1" w:styleId="184">
    <w:name w:val="列表1 Char"/>
    <w:basedOn w:val="1"/>
    <w:qFormat/>
    <w:uiPriority w:val="0"/>
    <w:pPr>
      <w:spacing w:before="60" w:after="60" w:line="360" w:lineRule="auto"/>
      <w:ind w:left="6480"/>
    </w:pPr>
    <w:rPr>
      <w:rFonts w:ascii="Arial" w:hAnsi="Arial"/>
      <w:sz w:val="24"/>
      <w:szCs w:val="20"/>
    </w:rPr>
  </w:style>
  <w:style w:type="paragraph" w:customStyle="1" w:styleId="185">
    <w:name w:val="Char"/>
    <w:basedOn w:val="1"/>
    <w:qFormat/>
    <w:uiPriority w:val="0"/>
  </w:style>
  <w:style w:type="paragraph" w:customStyle="1" w:styleId="186">
    <w:name w:val="xl83"/>
    <w:basedOn w:val="1"/>
    <w:qFormat/>
    <w:uiPriority w:val="0"/>
    <w:pPr>
      <w:widowControl/>
      <w:pBdr>
        <w:left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8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188">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189">
    <w:name w:val="xl90"/>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character" w:customStyle="1" w:styleId="190">
    <w:name w:val="列出段落 Char"/>
    <w:link w:val="110"/>
    <w:qFormat/>
    <w:uiPriority w:val="99"/>
    <w:rPr>
      <w:rFonts w:ascii="Times New Roman" w:hAnsi="Times New Roman" w:eastAsia="宋体" w:cs="Times New Roman"/>
      <w:szCs w:val="24"/>
    </w:rPr>
  </w:style>
  <w:style w:type="character" w:customStyle="1" w:styleId="191">
    <w:name w:val="标题 1 Char1"/>
    <w:qFormat/>
    <w:uiPriority w:val="0"/>
    <w:rPr>
      <w:b/>
      <w:bCs/>
      <w:kern w:val="44"/>
      <w:sz w:val="44"/>
      <w:szCs w:val="44"/>
    </w:rPr>
  </w:style>
  <w:style w:type="character" w:customStyle="1" w:styleId="192">
    <w:name w:val="tcnt2"/>
    <w:qFormat/>
    <w:uiPriority w:val="0"/>
  </w:style>
  <w:style w:type="paragraph" w:customStyle="1" w:styleId="193">
    <w:name w:val="Table Paragraph"/>
    <w:basedOn w:val="1"/>
    <w:qFormat/>
    <w:uiPriority w:val="1"/>
    <w:pPr>
      <w:autoSpaceDE w:val="0"/>
      <w:autoSpaceDN w:val="0"/>
      <w:adjustRightInd w:val="0"/>
      <w:jc w:val="left"/>
    </w:pPr>
    <w:rPr>
      <w:kern w:val="0"/>
      <w:sz w:val="24"/>
    </w:rPr>
  </w:style>
  <w:style w:type="paragraph" w:customStyle="1" w:styleId="194">
    <w:name w:val="标题 61"/>
    <w:basedOn w:val="1"/>
    <w:qFormat/>
    <w:uiPriority w:val="1"/>
    <w:pPr>
      <w:autoSpaceDE w:val="0"/>
      <w:autoSpaceDN w:val="0"/>
      <w:adjustRightInd w:val="0"/>
      <w:ind w:left="101"/>
      <w:jc w:val="left"/>
      <w:outlineLvl w:val="5"/>
    </w:pPr>
    <w:rPr>
      <w:rFonts w:ascii="Microsoft JhengHei" w:eastAsia="Microsoft JhengHei" w:cs="Microsoft JhengHei"/>
      <w:b/>
      <w:bCs/>
      <w:kern w:val="0"/>
      <w:sz w:val="24"/>
    </w:rPr>
  </w:style>
  <w:style w:type="paragraph" w:customStyle="1" w:styleId="195">
    <w:name w:val="正文 A"/>
    <w:qFormat/>
    <w:uiPriority w:val="0"/>
    <w:pPr>
      <w:framePr w:wrap="around" w:vAnchor="margin" w:hAnchor="text" w:y="1"/>
      <w:widowControl w:val="0"/>
      <w:jc w:val="both"/>
    </w:pPr>
    <w:rPr>
      <w:rFonts w:ascii="Calibri" w:hAnsi="Calibri" w:eastAsia="Calibri" w:cs="Times New Roman"/>
      <w:color w:val="000000"/>
      <w:kern w:val="2"/>
      <w:sz w:val="21"/>
      <w:szCs w:val="21"/>
      <w:u w:color="000000"/>
      <w:lang w:val="en-US" w:eastAsia="zh-CN" w:bidi="ar-SA"/>
    </w:rPr>
  </w:style>
  <w:style w:type="paragraph" w:customStyle="1" w:styleId="196">
    <w:name w:val="段前后"/>
    <w:qFormat/>
    <w:uiPriority w:val="0"/>
    <w:pPr>
      <w:framePr w:wrap="around" w:vAnchor="margin" w:hAnchor="text" w:y="1"/>
      <w:widowControl w:val="0"/>
      <w:spacing w:before="156" w:after="156" w:line="360" w:lineRule="auto"/>
      <w:ind w:firstLine="200"/>
      <w:jc w:val="both"/>
    </w:pPr>
    <w:rPr>
      <w:rFonts w:ascii="宋体" w:hAnsi="宋体" w:eastAsia="宋体" w:cs="宋体"/>
      <w:color w:val="000000"/>
      <w:sz w:val="24"/>
      <w:szCs w:val="24"/>
      <w:u w:color="000000"/>
      <w:lang w:val="en-US" w:eastAsia="zh-CN" w:bidi="ar-SA"/>
    </w:rPr>
  </w:style>
  <w:style w:type="character" w:customStyle="1" w:styleId="197">
    <w:name w:val="纯文本2"/>
    <w:qFormat/>
    <w:uiPriority w:val="0"/>
    <w:rPr>
      <w:sz w:val="24"/>
    </w:rPr>
  </w:style>
  <w:style w:type="character" w:customStyle="1" w:styleId="198">
    <w:name w:val="p0 Char"/>
    <w:link w:val="155"/>
    <w:qFormat/>
    <w:uiPriority w:val="0"/>
    <w:rPr>
      <w:rFonts w:ascii="Times New Roman" w:hAnsi="Times New Roman" w:eastAsia="宋体" w:cs="Times New Roman"/>
      <w:kern w:val="0"/>
      <w:szCs w:val="21"/>
    </w:rPr>
  </w:style>
  <w:style w:type="paragraph" w:customStyle="1" w:styleId="199">
    <w:name w:val="Blockquote"/>
    <w:basedOn w:val="1"/>
    <w:qFormat/>
    <w:uiPriority w:val="0"/>
    <w:pPr>
      <w:autoSpaceDE w:val="0"/>
      <w:autoSpaceDN w:val="0"/>
      <w:adjustRightInd w:val="0"/>
      <w:spacing w:before="100" w:after="100"/>
      <w:ind w:left="360" w:right="360"/>
      <w:jc w:val="left"/>
    </w:pPr>
    <w:rPr>
      <w:kern w:val="0"/>
      <w:sz w:val="24"/>
      <w:szCs w:val="20"/>
    </w:rPr>
  </w:style>
  <w:style w:type="character" w:customStyle="1" w:styleId="200">
    <w:name w:val="Font Style86"/>
    <w:qFormat/>
    <w:uiPriority w:val="0"/>
    <w:rPr>
      <w:rFonts w:hint="eastAsia" w:ascii="黑体" w:hAnsi="黑体" w:eastAsia="黑体"/>
      <w:spacing w:val="10"/>
      <w:sz w:val="30"/>
    </w:rPr>
  </w:style>
  <w:style w:type="paragraph" w:customStyle="1" w:styleId="201">
    <w:name w:val="_Style 3"/>
    <w:basedOn w:val="1"/>
    <w:qFormat/>
    <w:uiPriority w:val="34"/>
    <w:pPr>
      <w:ind w:firstLine="420" w:firstLineChars="200"/>
    </w:pPr>
  </w:style>
  <w:style w:type="paragraph" w:customStyle="1" w:styleId="202">
    <w:name w:val="修订1"/>
    <w:qFormat/>
    <w:uiPriority w:val="99"/>
    <w:rPr>
      <w:rFonts w:ascii="Times New Roman" w:hAnsi="Times New Roman" w:eastAsia="宋体" w:cs="Times New Roman"/>
      <w:kern w:val="2"/>
      <w:sz w:val="21"/>
      <w:szCs w:val="24"/>
      <w:lang w:val="en-US" w:eastAsia="zh-CN" w:bidi="ar-SA"/>
    </w:rPr>
  </w:style>
  <w:style w:type="paragraph" w:customStyle="1" w:styleId="203">
    <w:name w:val="List Paragraph1"/>
    <w:basedOn w:val="1"/>
    <w:qFormat/>
    <w:uiPriority w:val="0"/>
    <w:pPr>
      <w:ind w:firstLine="420" w:firstLineChars="200"/>
    </w:pPr>
    <w:rPr>
      <w:rFonts w:ascii="Calibri" w:hAnsi="Calibri"/>
      <w:szCs w:val="22"/>
    </w:rPr>
  </w:style>
  <w:style w:type="character" w:customStyle="1" w:styleId="204">
    <w:name w:val="正文首行缩进 Char"/>
    <w:basedOn w:val="73"/>
    <w:link w:val="35"/>
    <w:qFormat/>
    <w:uiPriority w:val="0"/>
    <w:rPr>
      <w:rFonts w:ascii="Times New Roman" w:hAnsi="Times New Roman"/>
      <w:szCs w:val="24"/>
    </w:rPr>
  </w:style>
  <w:style w:type="character" w:customStyle="1" w:styleId="205">
    <w:name w:val="Char Char5"/>
    <w:qFormat/>
    <w:uiPriority w:val="0"/>
    <w:rPr>
      <w:rFonts w:eastAsia="宋体"/>
      <w:kern w:val="2"/>
      <w:sz w:val="18"/>
      <w:lang w:val="en-US" w:eastAsia="zh-CN" w:bidi="ar-SA"/>
    </w:rPr>
  </w:style>
  <w:style w:type="character" w:customStyle="1" w:styleId="206">
    <w:name w:val="标题2"/>
    <w:qFormat/>
    <w:uiPriority w:val="0"/>
  </w:style>
  <w:style w:type="character" w:customStyle="1" w:styleId="207">
    <w:name w:val="正文缩进 Char"/>
    <w:link w:val="11"/>
    <w:qFormat/>
    <w:uiPriority w:val="0"/>
    <w:rPr>
      <w:rFonts w:ascii="Times New Roman" w:hAnsi="Times New Roman" w:eastAsia="宋体" w:cs="Times New Roman"/>
      <w:sz w:val="24"/>
      <w:szCs w:val="24"/>
    </w:rPr>
  </w:style>
  <w:style w:type="paragraph" w:customStyle="1" w:styleId="208">
    <w:name w:val="_Style 199"/>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09">
    <w:name w:val="content"/>
    <w:qFormat/>
    <w:uiPriority w:val="0"/>
  </w:style>
  <w:style w:type="character" w:customStyle="1" w:styleId="210">
    <w:name w:val="样式71"/>
    <w:qFormat/>
    <w:uiPriority w:val="0"/>
    <w:rPr>
      <w:color w:val="000000"/>
    </w:rPr>
  </w:style>
  <w:style w:type="paragraph" w:customStyle="1" w:styleId="211">
    <w:name w:val="Char Char3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12">
    <w:name w:val="xl3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13">
    <w:name w:val="Char Char Char"/>
    <w:basedOn w:val="1"/>
    <w:qFormat/>
    <w:uiPriority w:val="0"/>
    <w:rPr>
      <w:rFonts w:ascii="宋体" w:hAnsi="宋体"/>
      <w:b/>
      <w:sz w:val="28"/>
      <w:szCs w:val="28"/>
    </w:rPr>
  </w:style>
  <w:style w:type="paragraph" w:customStyle="1" w:styleId="214">
    <w:name w:val="p16"/>
    <w:basedOn w:val="1"/>
    <w:qFormat/>
    <w:uiPriority w:val="0"/>
    <w:pPr>
      <w:widowControl/>
      <w:jc w:val="left"/>
    </w:pPr>
    <w:rPr>
      <w:kern w:val="0"/>
      <w:szCs w:val="21"/>
    </w:rPr>
  </w:style>
  <w:style w:type="paragraph" w:customStyle="1" w:styleId="215">
    <w:name w:val="Char2"/>
    <w:basedOn w:val="1"/>
    <w:qFormat/>
    <w:uiPriority w:val="0"/>
    <w:rPr>
      <w:szCs w:val="20"/>
    </w:rPr>
  </w:style>
  <w:style w:type="paragraph" w:customStyle="1" w:styleId="216">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17">
    <w:name w:val="样式 标题 2 + Times New Roman 四号 非加粗 段前: 5 磅 段后: 0 磅 行距: 固定值 20..."/>
    <w:basedOn w:val="3"/>
    <w:qFormat/>
    <w:uiPriority w:val="0"/>
    <w:pPr>
      <w:spacing w:before="100" w:after="0" w:line="400" w:lineRule="exact"/>
    </w:pPr>
    <w:rPr>
      <w:rFonts w:ascii="Times New Roman" w:hAnsi="Times New Roman"/>
      <w:b w:val="0"/>
      <w:bCs w:val="0"/>
      <w:kern w:val="2"/>
      <w:sz w:val="28"/>
      <w:szCs w:val="20"/>
    </w:rPr>
  </w:style>
  <w:style w:type="paragraph" w:customStyle="1" w:styleId="218">
    <w:name w:val="Outokumpu Normal"/>
    <w:basedOn w:val="1"/>
    <w:qFormat/>
    <w:uiPriority w:val="0"/>
    <w:pPr>
      <w:widowControl/>
      <w:ind w:left="1134"/>
      <w:jc w:val="left"/>
    </w:pPr>
    <w:rPr>
      <w:rFonts w:ascii="Arial" w:hAnsi="Arial"/>
      <w:kern w:val="0"/>
      <w:sz w:val="22"/>
      <w:szCs w:val="22"/>
      <w:lang w:eastAsia="fi-FI"/>
    </w:rPr>
  </w:style>
  <w:style w:type="paragraph" w:customStyle="1" w:styleId="219">
    <w:name w:val="样式 标题 2 + 宋体 五号 行距: 单倍行距"/>
    <w:basedOn w:val="3"/>
    <w:qFormat/>
    <w:uiPriority w:val="0"/>
    <w:pPr>
      <w:tabs>
        <w:tab w:val="left" w:pos="2175"/>
      </w:tabs>
      <w:adjustRightInd w:val="0"/>
      <w:spacing w:line="240" w:lineRule="auto"/>
      <w:ind w:left="2175" w:hanging="1275"/>
      <w:jc w:val="left"/>
    </w:pPr>
    <w:rPr>
      <w:rFonts w:ascii="宋体" w:hAnsi="宋体" w:eastAsia="宋体"/>
      <w:sz w:val="21"/>
      <w:szCs w:val="20"/>
    </w:rPr>
  </w:style>
  <w:style w:type="paragraph" w:customStyle="1" w:styleId="220">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21">
    <w:name w:val="1"/>
    <w:basedOn w:val="1"/>
    <w:qFormat/>
    <w:uiPriority w:val="0"/>
    <w:pPr>
      <w:spacing w:afterLines="50" w:line="360" w:lineRule="auto"/>
    </w:pPr>
    <w:rPr>
      <w:rFonts w:ascii="宋体" w:hAnsi="宋体"/>
      <w:b/>
      <w:sz w:val="30"/>
      <w:szCs w:val="21"/>
    </w:rPr>
  </w:style>
  <w:style w:type="paragraph" w:customStyle="1" w:styleId="22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23">
    <w:name w:val="样式 宋体 小四 行距: 1.5 倍行距"/>
    <w:basedOn w:val="1"/>
    <w:qFormat/>
    <w:uiPriority w:val="0"/>
    <w:pPr>
      <w:spacing w:line="360" w:lineRule="auto"/>
      <w:ind w:firstLine="480" w:firstLineChars="200"/>
    </w:pPr>
    <w:rPr>
      <w:rFonts w:ascii="宋体" w:hAnsi="宋体" w:cs="宋体"/>
      <w:sz w:val="24"/>
      <w:szCs w:val="20"/>
    </w:rPr>
  </w:style>
  <w:style w:type="character" w:customStyle="1" w:styleId="224">
    <w:name w:val="正文首行缩进 Char1"/>
    <w:basedOn w:val="73"/>
    <w:qFormat/>
    <w:uiPriority w:val="99"/>
    <w:rPr>
      <w:rFonts w:ascii="Times New Roman" w:hAnsi="Times New Roman" w:eastAsia="宋体" w:cs="Times New Roman"/>
      <w:szCs w:val="24"/>
    </w:rPr>
  </w:style>
  <w:style w:type="paragraph" w:customStyle="1" w:styleId="225">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226">
    <w:name w:val="Char1 Char Char Char 字元 Char Char 字元 Char 字元 Char1 Char Char Char"/>
    <w:basedOn w:val="1"/>
    <w:qFormat/>
    <w:uiPriority w:val="0"/>
    <w:rPr>
      <w:szCs w:val="20"/>
    </w:rPr>
  </w:style>
  <w:style w:type="paragraph" w:customStyle="1" w:styleId="227">
    <w:name w:val="正文1"/>
    <w:basedOn w:val="1"/>
    <w:qFormat/>
    <w:uiPriority w:val="0"/>
    <w:pPr>
      <w:adjustRightInd w:val="0"/>
      <w:snapToGrid w:val="0"/>
      <w:spacing w:line="480" w:lineRule="atLeast"/>
    </w:pPr>
    <w:rPr>
      <w:kern w:val="0"/>
      <w:sz w:val="28"/>
      <w:szCs w:val="20"/>
    </w:rPr>
  </w:style>
  <w:style w:type="paragraph" w:customStyle="1" w:styleId="228">
    <w:name w:val="标题 1 +"/>
    <w:basedOn w:val="2"/>
    <w:qFormat/>
    <w:uiPriority w:val="0"/>
    <w:pPr>
      <w:spacing w:before="0" w:after="0" w:line="600" w:lineRule="auto"/>
      <w:jc w:val="center"/>
    </w:pPr>
    <w:rPr>
      <w:rFonts w:eastAsia="黑体"/>
      <w:kern w:val="0"/>
      <w:sz w:val="32"/>
      <w:szCs w:val="32"/>
    </w:rPr>
  </w:style>
  <w:style w:type="paragraph" w:customStyle="1" w:styleId="229">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outlineLvl w:val="1"/>
    </w:pPr>
    <w:rPr>
      <w:rFonts w:ascii="宋体" w:hAnsi="宋体"/>
      <w:b/>
      <w:bCs/>
      <w:color w:val="000000"/>
      <w:kern w:val="0"/>
      <w:szCs w:val="20"/>
    </w:rPr>
  </w:style>
  <w:style w:type="paragraph" w:customStyle="1" w:styleId="230">
    <w:name w:val="Char1 Char Char Char"/>
    <w:basedOn w:val="1"/>
    <w:qFormat/>
    <w:uiPriority w:val="0"/>
    <w:rPr>
      <w:sz w:val="24"/>
    </w:rPr>
  </w:style>
  <w:style w:type="paragraph" w:customStyle="1" w:styleId="231">
    <w:name w:val="Char Char1 Char Char Char Char Char1 Char Char Char Char"/>
    <w:basedOn w:val="12"/>
    <w:qFormat/>
    <w:uiPriority w:val="0"/>
    <w:rPr>
      <w:rFonts w:ascii="Tahoma" w:hAnsi="Tahoma" w:cs="Times New Roman"/>
    </w:rPr>
  </w:style>
  <w:style w:type="paragraph" w:customStyle="1" w:styleId="23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233">
    <w:name w:val="xl34"/>
    <w:basedOn w:val="1"/>
    <w:qFormat/>
    <w:uiPriority w:val="0"/>
    <w:pPr>
      <w:widowControl/>
      <w:pBdr>
        <w:left w:val="single" w:color="auto" w:sz="4" w:space="0"/>
        <w:right w:val="single" w:color="auto" w:sz="4" w:space="0"/>
      </w:pBdr>
      <w:spacing w:before="100" w:beforeAutospacing="1" w:after="100" w:afterAutospacing="1"/>
      <w:jc w:val="center"/>
    </w:pPr>
    <w:rPr>
      <w:kern w:val="0"/>
      <w:sz w:val="24"/>
    </w:rPr>
  </w:style>
  <w:style w:type="paragraph" w:customStyle="1" w:styleId="234">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35">
    <w:name w:val="样式1"/>
    <w:basedOn w:val="1"/>
    <w:qFormat/>
    <w:uiPriority w:val="0"/>
    <w:pPr>
      <w:tabs>
        <w:tab w:val="left" w:pos="360"/>
      </w:tabs>
      <w:adjustRightInd w:val="0"/>
      <w:ind w:left="360" w:hanging="360"/>
    </w:pPr>
    <w:rPr>
      <w:rFonts w:ascii="宋体" w:hAnsi="宋体"/>
      <w:kern w:val="0"/>
      <w:szCs w:val="21"/>
    </w:rPr>
  </w:style>
  <w:style w:type="paragraph" w:customStyle="1" w:styleId="236">
    <w:name w:val="表格内容"/>
    <w:basedOn w:val="15"/>
    <w:qFormat/>
    <w:uiPriority w:val="0"/>
    <w:pPr>
      <w:suppressLineNumbers/>
      <w:suppressAutoHyphens/>
      <w:jc w:val="left"/>
    </w:pPr>
    <w:rPr>
      <w:rFonts w:cs="Tahoma"/>
      <w:kern w:val="0"/>
      <w:sz w:val="24"/>
    </w:rPr>
  </w:style>
  <w:style w:type="paragraph" w:customStyle="1" w:styleId="237">
    <w:name w:val="简单回函地址"/>
    <w:basedOn w:val="1"/>
    <w:qFormat/>
    <w:uiPriority w:val="0"/>
    <w:rPr>
      <w:szCs w:val="20"/>
    </w:rPr>
  </w:style>
  <w:style w:type="paragraph" w:customStyle="1" w:styleId="238">
    <w:name w:val="默认段落字体 Para Char Char Char Char"/>
    <w:basedOn w:val="1"/>
    <w:qFormat/>
    <w:uiPriority w:val="0"/>
    <w:pPr>
      <w:spacing w:line="360" w:lineRule="auto"/>
      <w:ind w:firstLine="200" w:firstLineChars="200"/>
    </w:pPr>
    <w:rPr>
      <w:rFonts w:ascii="宋体" w:hAnsi="宋体" w:cs="宋体"/>
      <w:sz w:val="24"/>
    </w:rPr>
  </w:style>
  <w:style w:type="paragraph" w:customStyle="1" w:styleId="239">
    <w:name w:val="正文01"/>
    <w:basedOn w:val="1"/>
    <w:qFormat/>
    <w:uiPriority w:val="0"/>
    <w:pPr>
      <w:adjustRightInd w:val="0"/>
      <w:spacing w:line="360" w:lineRule="auto"/>
      <w:ind w:firstLine="200" w:firstLineChars="200"/>
    </w:pPr>
    <w:rPr>
      <w:rFonts w:ascii="宋体" w:hAnsi="宋体"/>
      <w:sz w:val="28"/>
    </w:rPr>
  </w:style>
  <w:style w:type="paragraph" w:customStyle="1" w:styleId="24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41">
    <w:name w:val="Char Char3 Char Char1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4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43">
    <w:name w:val="样式3"/>
    <w:basedOn w:val="1"/>
    <w:qFormat/>
    <w:uiPriority w:val="0"/>
    <w:pPr>
      <w:keepNext/>
      <w:keepLines/>
      <w:spacing w:before="120" w:after="100" w:line="360" w:lineRule="auto"/>
      <w:jc w:val="left"/>
      <w:outlineLvl w:val="1"/>
    </w:pPr>
    <w:rPr>
      <w:rFonts w:ascii="Arial" w:hAnsi="Arial" w:eastAsia="黑体"/>
      <w:b/>
      <w:bCs/>
      <w:sz w:val="32"/>
      <w:szCs w:val="28"/>
    </w:rPr>
  </w:style>
  <w:style w:type="paragraph" w:customStyle="1" w:styleId="244">
    <w:name w:val="样式 标题 2二级标题节标题 + (西文) Times New Roman (中文) 宋体 四号 段前: 6 磅 段..."/>
    <w:basedOn w:val="3"/>
    <w:qFormat/>
    <w:uiPriority w:val="0"/>
    <w:pPr>
      <w:adjustRightInd w:val="0"/>
      <w:spacing w:before="120" w:after="120" w:line="360" w:lineRule="auto"/>
    </w:pPr>
    <w:rPr>
      <w:rFonts w:ascii="宋体" w:hAnsi="宋体" w:eastAsia="宋体"/>
      <w:bCs w:val="0"/>
      <w:kern w:val="2"/>
      <w:sz w:val="28"/>
      <w:szCs w:val="28"/>
    </w:rPr>
  </w:style>
  <w:style w:type="table" w:customStyle="1" w:styleId="245">
    <w:name w:val="网格型1"/>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6">
    <w:name w:val="Normal_166"/>
    <w:qFormat/>
    <w:uiPriority w:val="0"/>
    <w:pPr>
      <w:widowControl w:val="0"/>
      <w:jc w:val="both"/>
    </w:pPr>
    <w:rPr>
      <w:rFonts w:ascii="Calibri" w:hAnsi="Calibri" w:eastAsia="宋体" w:cs="Times New Roman"/>
      <w:lang w:val="en-US" w:eastAsia="zh-CN" w:bidi="ar-SA"/>
    </w:rPr>
  </w:style>
  <w:style w:type="paragraph" w:customStyle="1" w:styleId="247">
    <w:name w:val="Normal_110"/>
    <w:qFormat/>
    <w:uiPriority w:val="0"/>
    <w:pPr>
      <w:widowControl w:val="0"/>
      <w:jc w:val="both"/>
    </w:pPr>
    <w:rPr>
      <w:rFonts w:ascii="Calibri" w:hAnsi="Calibri" w:eastAsia="宋体" w:cs="Times New Roman"/>
      <w:lang w:val="en-US" w:eastAsia="zh-CN" w:bidi="ar-SA"/>
    </w:rPr>
  </w:style>
  <w:style w:type="paragraph" w:customStyle="1" w:styleId="248">
    <w:name w:val="Normal_111"/>
    <w:qFormat/>
    <w:uiPriority w:val="0"/>
    <w:pPr>
      <w:widowControl w:val="0"/>
      <w:jc w:val="both"/>
    </w:pPr>
    <w:rPr>
      <w:rFonts w:ascii="Calibri" w:hAnsi="Calibri" w:eastAsia="宋体" w:cs="Times New Roman"/>
      <w:lang w:val="en-US" w:eastAsia="zh-CN" w:bidi="ar-SA"/>
    </w:rPr>
  </w:style>
  <w:style w:type="paragraph" w:customStyle="1" w:styleId="249">
    <w:name w:val="Normal_112"/>
    <w:qFormat/>
    <w:uiPriority w:val="0"/>
    <w:pPr>
      <w:widowControl w:val="0"/>
      <w:jc w:val="both"/>
    </w:pPr>
    <w:rPr>
      <w:rFonts w:ascii="Calibri" w:hAnsi="Calibri" w:eastAsia="宋体" w:cs="Times New Roman"/>
      <w:lang w:val="en-US" w:eastAsia="zh-CN" w:bidi="ar-SA"/>
    </w:rPr>
  </w:style>
  <w:style w:type="paragraph" w:customStyle="1" w:styleId="250">
    <w:name w:val="Normal_113"/>
    <w:qFormat/>
    <w:uiPriority w:val="0"/>
    <w:pPr>
      <w:widowControl w:val="0"/>
      <w:jc w:val="both"/>
    </w:pPr>
    <w:rPr>
      <w:rFonts w:ascii="Calibri" w:hAnsi="Calibri" w:eastAsia="宋体" w:cs="Times New Roman"/>
      <w:lang w:val="en-US" w:eastAsia="zh-CN" w:bidi="ar-SA"/>
    </w:rPr>
  </w:style>
  <w:style w:type="paragraph" w:customStyle="1" w:styleId="251">
    <w:name w:val="Normal_114"/>
    <w:qFormat/>
    <w:uiPriority w:val="0"/>
    <w:pPr>
      <w:widowControl w:val="0"/>
      <w:jc w:val="both"/>
    </w:pPr>
    <w:rPr>
      <w:rFonts w:ascii="Calibri" w:hAnsi="Calibri" w:eastAsia="宋体" w:cs="Times New Roman"/>
      <w:lang w:val="en-US" w:eastAsia="zh-CN" w:bidi="ar-SA"/>
    </w:rPr>
  </w:style>
  <w:style w:type="paragraph" w:customStyle="1" w:styleId="252">
    <w:name w:val="Normal_115"/>
    <w:qFormat/>
    <w:uiPriority w:val="0"/>
    <w:pPr>
      <w:widowControl w:val="0"/>
      <w:jc w:val="both"/>
    </w:pPr>
    <w:rPr>
      <w:rFonts w:ascii="Calibri" w:hAnsi="Calibri" w:eastAsia="宋体" w:cs="Times New Roman"/>
      <w:lang w:val="en-US" w:eastAsia="zh-CN" w:bidi="ar-SA"/>
    </w:rPr>
  </w:style>
  <w:style w:type="paragraph" w:customStyle="1" w:styleId="253">
    <w:name w:val="Normal_116"/>
    <w:qFormat/>
    <w:uiPriority w:val="0"/>
    <w:pPr>
      <w:widowControl w:val="0"/>
      <w:jc w:val="both"/>
    </w:pPr>
    <w:rPr>
      <w:rFonts w:ascii="Calibri" w:hAnsi="Calibri" w:eastAsia="宋体" w:cs="Times New Roman"/>
      <w:lang w:val="en-US" w:eastAsia="zh-CN" w:bidi="ar-SA"/>
    </w:rPr>
  </w:style>
  <w:style w:type="paragraph" w:customStyle="1" w:styleId="254">
    <w:name w:val="Normal_117"/>
    <w:qFormat/>
    <w:uiPriority w:val="0"/>
    <w:pPr>
      <w:widowControl w:val="0"/>
      <w:jc w:val="both"/>
    </w:pPr>
    <w:rPr>
      <w:rFonts w:ascii="Calibri" w:hAnsi="Calibri" w:eastAsia="宋体" w:cs="Times New Roman"/>
      <w:lang w:val="en-US" w:eastAsia="zh-CN" w:bidi="ar-SA"/>
    </w:rPr>
  </w:style>
  <w:style w:type="paragraph" w:customStyle="1" w:styleId="255">
    <w:name w:val="Normal_118"/>
    <w:qFormat/>
    <w:uiPriority w:val="0"/>
    <w:pPr>
      <w:widowControl w:val="0"/>
      <w:jc w:val="both"/>
    </w:pPr>
    <w:rPr>
      <w:rFonts w:ascii="Calibri" w:hAnsi="Calibri" w:eastAsia="宋体" w:cs="Times New Roman"/>
      <w:lang w:val="en-US" w:eastAsia="zh-CN" w:bidi="ar-SA"/>
    </w:rPr>
  </w:style>
  <w:style w:type="paragraph" w:customStyle="1" w:styleId="256">
    <w:name w:val="Normal_119"/>
    <w:qFormat/>
    <w:uiPriority w:val="0"/>
    <w:pPr>
      <w:widowControl w:val="0"/>
      <w:jc w:val="both"/>
    </w:pPr>
    <w:rPr>
      <w:rFonts w:ascii="Calibri" w:hAnsi="Calibri" w:eastAsia="宋体" w:cs="Times New Roman"/>
      <w:lang w:val="en-US" w:eastAsia="zh-CN" w:bidi="ar-SA"/>
    </w:rPr>
  </w:style>
  <w:style w:type="paragraph" w:customStyle="1" w:styleId="257">
    <w:name w:val="Normal_120"/>
    <w:qFormat/>
    <w:uiPriority w:val="0"/>
    <w:pPr>
      <w:widowControl w:val="0"/>
      <w:jc w:val="both"/>
    </w:pPr>
    <w:rPr>
      <w:rFonts w:ascii="Calibri" w:hAnsi="Calibri" w:eastAsia="宋体" w:cs="Times New Roman"/>
      <w:lang w:val="en-US" w:eastAsia="zh-CN" w:bidi="ar-SA"/>
    </w:rPr>
  </w:style>
  <w:style w:type="paragraph" w:customStyle="1" w:styleId="258">
    <w:name w:val="Normal_121"/>
    <w:qFormat/>
    <w:uiPriority w:val="0"/>
    <w:pPr>
      <w:widowControl w:val="0"/>
      <w:jc w:val="both"/>
    </w:pPr>
    <w:rPr>
      <w:rFonts w:ascii="Calibri" w:hAnsi="Calibri" w:eastAsia="宋体" w:cs="Times New Roman"/>
      <w:lang w:val="en-US" w:eastAsia="zh-CN" w:bidi="ar-SA"/>
    </w:rPr>
  </w:style>
  <w:style w:type="paragraph" w:customStyle="1" w:styleId="259">
    <w:name w:val="Normal_122"/>
    <w:qFormat/>
    <w:uiPriority w:val="0"/>
    <w:pPr>
      <w:widowControl w:val="0"/>
      <w:jc w:val="both"/>
    </w:pPr>
    <w:rPr>
      <w:rFonts w:ascii="Calibri" w:hAnsi="Calibri" w:eastAsia="宋体" w:cs="Times New Roman"/>
      <w:lang w:val="en-US" w:eastAsia="zh-CN" w:bidi="ar-SA"/>
    </w:rPr>
  </w:style>
  <w:style w:type="paragraph" w:customStyle="1" w:styleId="260">
    <w:name w:val="Normal_123"/>
    <w:qFormat/>
    <w:uiPriority w:val="0"/>
    <w:pPr>
      <w:widowControl w:val="0"/>
      <w:jc w:val="both"/>
    </w:pPr>
    <w:rPr>
      <w:rFonts w:ascii="Calibri" w:hAnsi="Calibri" w:eastAsia="宋体" w:cs="Times New Roman"/>
      <w:lang w:val="en-US" w:eastAsia="zh-CN" w:bidi="ar-SA"/>
    </w:rPr>
  </w:style>
  <w:style w:type="paragraph" w:customStyle="1" w:styleId="261">
    <w:name w:val="Normal_124"/>
    <w:qFormat/>
    <w:uiPriority w:val="0"/>
    <w:pPr>
      <w:widowControl w:val="0"/>
      <w:jc w:val="both"/>
    </w:pPr>
    <w:rPr>
      <w:rFonts w:ascii="Calibri" w:hAnsi="Calibri" w:eastAsia="宋体" w:cs="Times New Roman"/>
      <w:lang w:val="en-US" w:eastAsia="zh-CN" w:bidi="ar-SA"/>
    </w:rPr>
  </w:style>
  <w:style w:type="paragraph" w:customStyle="1" w:styleId="262">
    <w:name w:val="Normal_125"/>
    <w:qFormat/>
    <w:uiPriority w:val="0"/>
    <w:pPr>
      <w:widowControl w:val="0"/>
      <w:jc w:val="both"/>
    </w:pPr>
    <w:rPr>
      <w:rFonts w:ascii="Calibri" w:hAnsi="Calibri" w:eastAsia="宋体" w:cs="Times New Roman"/>
      <w:lang w:val="en-US" w:eastAsia="zh-CN" w:bidi="ar-SA"/>
    </w:rPr>
  </w:style>
  <w:style w:type="paragraph" w:customStyle="1" w:styleId="263">
    <w:name w:val="Normal_126"/>
    <w:qFormat/>
    <w:uiPriority w:val="0"/>
    <w:pPr>
      <w:widowControl w:val="0"/>
      <w:jc w:val="both"/>
    </w:pPr>
    <w:rPr>
      <w:rFonts w:ascii="Calibri" w:hAnsi="Calibri" w:eastAsia="宋体" w:cs="Times New Roman"/>
      <w:lang w:val="en-US" w:eastAsia="zh-CN" w:bidi="ar-SA"/>
    </w:rPr>
  </w:style>
  <w:style w:type="paragraph" w:customStyle="1" w:styleId="264">
    <w:name w:val="Normal_127"/>
    <w:qFormat/>
    <w:uiPriority w:val="0"/>
    <w:pPr>
      <w:widowControl w:val="0"/>
      <w:jc w:val="both"/>
    </w:pPr>
    <w:rPr>
      <w:rFonts w:ascii="Calibri" w:hAnsi="Calibri" w:eastAsia="宋体" w:cs="Times New Roman"/>
      <w:lang w:val="en-US" w:eastAsia="zh-CN" w:bidi="ar-SA"/>
    </w:rPr>
  </w:style>
  <w:style w:type="paragraph" w:customStyle="1" w:styleId="265">
    <w:name w:val="Normal_128"/>
    <w:qFormat/>
    <w:uiPriority w:val="0"/>
    <w:pPr>
      <w:widowControl w:val="0"/>
      <w:jc w:val="both"/>
    </w:pPr>
    <w:rPr>
      <w:rFonts w:ascii="Calibri" w:hAnsi="Calibri" w:eastAsia="宋体" w:cs="Times New Roman"/>
      <w:lang w:val="en-US" w:eastAsia="zh-CN" w:bidi="ar-SA"/>
    </w:rPr>
  </w:style>
  <w:style w:type="paragraph" w:customStyle="1" w:styleId="266">
    <w:name w:val="Normal_129"/>
    <w:qFormat/>
    <w:uiPriority w:val="0"/>
    <w:pPr>
      <w:widowControl w:val="0"/>
      <w:jc w:val="both"/>
    </w:pPr>
    <w:rPr>
      <w:rFonts w:ascii="Calibri" w:hAnsi="Calibri" w:eastAsia="宋体" w:cs="Times New Roman"/>
      <w:lang w:val="en-US" w:eastAsia="zh-CN" w:bidi="ar-SA"/>
    </w:rPr>
  </w:style>
  <w:style w:type="paragraph" w:customStyle="1" w:styleId="267">
    <w:name w:val="Normal_130"/>
    <w:qFormat/>
    <w:uiPriority w:val="0"/>
    <w:pPr>
      <w:widowControl w:val="0"/>
      <w:jc w:val="both"/>
    </w:pPr>
    <w:rPr>
      <w:rFonts w:ascii="Calibri" w:hAnsi="Calibri" w:eastAsia="宋体" w:cs="Times New Roman"/>
      <w:lang w:val="en-US" w:eastAsia="zh-CN" w:bidi="ar-SA"/>
    </w:rPr>
  </w:style>
  <w:style w:type="paragraph" w:customStyle="1" w:styleId="268">
    <w:name w:val="Normal_131"/>
    <w:qFormat/>
    <w:uiPriority w:val="0"/>
    <w:pPr>
      <w:widowControl w:val="0"/>
      <w:jc w:val="both"/>
    </w:pPr>
    <w:rPr>
      <w:rFonts w:ascii="Calibri" w:hAnsi="Calibri" w:eastAsia="宋体" w:cs="Times New Roman"/>
      <w:lang w:val="en-US" w:eastAsia="zh-CN" w:bidi="ar-SA"/>
    </w:rPr>
  </w:style>
  <w:style w:type="paragraph" w:customStyle="1" w:styleId="269">
    <w:name w:val="Normal_132"/>
    <w:qFormat/>
    <w:uiPriority w:val="0"/>
    <w:pPr>
      <w:widowControl w:val="0"/>
      <w:jc w:val="both"/>
    </w:pPr>
    <w:rPr>
      <w:rFonts w:ascii="Calibri" w:hAnsi="Calibri" w:eastAsia="宋体" w:cs="Times New Roman"/>
      <w:lang w:val="en-US" w:eastAsia="zh-CN" w:bidi="ar-SA"/>
    </w:rPr>
  </w:style>
  <w:style w:type="paragraph" w:customStyle="1" w:styleId="270">
    <w:name w:val="Normal_133"/>
    <w:qFormat/>
    <w:uiPriority w:val="0"/>
    <w:pPr>
      <w:widowControl w:val="0"/>
      <w:jc w:val="both"/>
    </w:pPr>
    <w:rPr>
      <w:rFonts w:ascii="Calibri" w:hAnsi="Calibri" w:eastAsia="宋体" w:cs="Times New Roman"/>
      <w:lang w:val="en-US" w:eastAsia="zh-CN" w:bidi="ar-SA"/>
    </w:rPr>
  </w:style>
  <w:style w:type="paragraph" w:customStyle="1" w:styleId="271">
    <w:name w:val="Normal_134"/>
    <w:qFormat/>
    <w:uiPriority w:val="0"/>
    <w:pPr>
      <w:widowControl w:val="0"/>
      <w:jc w:val="both"/>
    </w:pPr>
    <w:rPr>
      <w:rFonts w:ascii="Calibri" w:hAnsi="Calibri" w:eastAsia="宋体" w:cs="Times New Roman"/>
      <w:lang w:val="en-US" w:eastAsia="zh-CN" w:bidi="ar-SA"/>
    </w:rPr>
  </w:style>
  <w:style w:type="paragraph" w:customStyle="1" w:styleId="272">
    <w:name w:val="Normal_135"/>
    <w:qFormat/>
    <w:uiPriority w:val="0"/>
    <w:pPr>
      <w:widowControl w:val="0"/>
      <w:jc w:val="both"/>
    </w:pPr>
    <w:rPr>
      <w:rFonts w:ascii="Calibri" w:hAnsi="Calibri" w:eastAsia="宋体" w:cs="Times New Roman"/>
      <w:lang w:val="en-US" w:eastAsia="zh-CN" w:bidi="ar-SA"/>
    </w:rPr>
  </w:style>
  <w:style w:type="paragraph" w:customStyle="1" w:styleId="273">
    <w:name w:val="Normal_136"/>
    <w:qFormat/>
    <w:uiPriority w:val="0"/>
    <w:pPr>
      <w:widowControl w:val="0"/>
      <w:jc w:val="both"/>
    </w:pPr>
    <w:rPr>
      <w:rFonts w:ascii="Calibri" w:hAnsi="Calibri" w:eastAsia="宋体" w:cs="Times New Roman"/>
      <w:lang w:val="en-US" w:eastAsia="zh-CN" w:bidi="ar-SA"/>
    </w:rPr>
  </w:style>
  <w:style w:type="paragraph" w:customStyle="1" w:styleId="274">
    <w:name w:val="Normal_137"/>
    <w:qFormat/>
    <w:uiPriority w:val="0"/>
    <w:pPr>
      <w:widowControl w:val="0"/>
      <w:jc w:val="both"/>
    </w:pPr>
    <w:rPr>
      <w:rFonts w:ascii="Calibri" w:hAnsi="Calibri" w:eastAsia="宋体" w:cs="Times New Roman"/>
      <w:lang w:val="en-US" w:eastAsia="zh-CN" w:bidi="ar-SA"/>
    </w:rPr>
  </w:style>
  <w:style w:type="paragraph" w:customStyle="1" w:styleId="275">
    <w:name w:val="Normal_138"/>
    <w:qFormat/>
    <w:uiPriority w:val="0"/>
    <w:pPr>
      <w:widowControl w:val="0"/>
      <w:jc w:val="both"/>
    </w:pPr>
    <w:rPr>
      <w:rFonts w:ascii="Calibri" w:hAnsi="Calibri" w:eastAsia="宋体" w:cs="Times New Roman"/>
      <w:lang w:val="en-US" w:eastAsia="zh-CN" w:bidi="ar-SA"/>
    </w:rPr>
  </w:style>
  <w:style w:type="paragraph" w:customStyle="1" w:styleId="276">
    <w:name w:val="Normal_139"/>
    <w:qFormat/>
    <w:uiPriority w:val="0"/>
    <w:pPr>
      <w:widowControl w:val="0"/>
      <w:jc w:val="both"/>
    </w:pPr>
    <w:rPr>
      <w:rFonts w:ascii="Calibri" w:hAnsi="Calibri" w:eastAsia="宋体" w:cs="Times New Roman"/>
      <w:lang w:val="en-US" w:eastAsia="zh-CN" w:bidi="ar-SA"/>
    </w:rPr>
  </w:style>
  <w:style w:type="paragraph" w:customStyle="1" w:styleId="277">
    <w:name w:val="Normal_140"/>
    <w:qFormat/>
    <w:uiPriority w:val="0"/>
    <w:pPr>
      <w:widowControl w:val="0"/>
      <w:jc w:val="both"/>
    </w:pPr>
    <w:rPr>
      <w:rFonts w:ascii="Calibri" w:hAnsi="Calibri" w:eastAsia="宋体" w:cs="Times New Roman"/>
      <w:lang w:val="en-US" w:eastAsia="zh-CN" w:bidi="ar-SA"/>
    </w:rPr>
  </w:style>
  <w:style w:type="paragraph" w:customStyle="1" w:styleId="278">
    <w:name w:val="Normal_141"/>
    <w:qFormat/>
    <w:uiPriority w:val="0"/>
    <w:pPr>
      <w:widowControl w:val="0"/>
      <w:jc w:val="both"/>
    </w:pPr>
    <w:rPr>
      <w:rFonts w:ascii="Calibri" w:hAnsi="Calibri" w:eastAsia="宋体" w:cs="Times New Roman"/>
      <w:lang w:val="en-US" w:eastAsia="zh-CN" w:bidi="ar-SA"/>
    </w:rPr>
  </w:style>
  <w:style w:type="paragraph" w:customStyle="1" w:styleId="279">
    <w:name w:val="Normal_142"/>
    <w:qFormat/>
    <w:uiPriority w:val="0"/>
    <w:pPr>
      <w:widowControl w:val="0"/>
      <w:jc w:val="both"/>
    </w:pPr>
    <w:rPr>
      <w:rFonts w:ascii="Calibri" w:hAnsi="Calibri" w:eastAsia="宋体" w:cs="Times New Roman"/>
      <w:lang w:val="en-US" w:eastAsia="zh-CN" w:bidi="ar-SA"/>
    </w:rPr>
  </w:style>
  <w:style w:type="paragraph" w:customStyle="1" w:styleId="280">
    <w:name w:val="Normal_143"/>
    <w:qFormat/>
    <w:uiPriority w:val="0"/>
    <w:pPr>
      <w:widowControl w:val="0"/>
      <w:jc w:val="both"/>
    </w:pPr>
    <w:rPr>
      <w:rFonts w:ascii="Calibri" w:hAnsi="Calibri" w:eastAsia="宋体" w:cs="Times New Roman"/>
      <w:lang w:val="en-US" w:eastAsia="zh-CN" w:bidi="ar-SA"/>
    </w:rPr>
  </w:style>
  <w:style w:type="paragraph" w:customStyle="1" w:styleId="281">
    <w:name w:val="Normal_144"/>
    <w:qFormat/>
    <w:uiPriority w:val="0"/>
    <w:pPr>
      <w:widowControl w:val="0"/>
      <w:jc w:val="both"/>
    </w:pPr>
    <w:rPr>
      <w:rFonts w:ascii="Calibri" w:hAnsi="Calibri" w:eastAsia="宋体" w:cs="Times New Roman"/>
      <w:lang w:val="en-US" w:eastAsia="zh-CN" w:bidi="ar-SA"/>
    </w:rPr>
  </w:style>
  <w:style w:type="paragraph" w:customStyle="1" w:styleId="282">
    <w:name w:val="Normal_145"/>
    <w:qFormat/>
    <w:uiPriority w:val="0"/>
    <w:pPr>
      <w:widowControl w:val="0"/>
      <w:jc w:val="both"/>
    </w:pPr>
    <w:rPr>
      <w:rFonts w:ascii="Calibri" w:hAnsi="Calibri" w:eastAsia="宋体" w:cs="Times New Roman"/>
      <w:lang w:val="en-US" w:eastAsia="zh-CN" w:bidi="ar-SA"/>
    </w:rPr>
  </w:style>
  <w:style w:type="paragraph" w:customStyle="1" w:styleId="283">
    <w:name w:val="Normal_146"/>
    <w:qFormat/>
    <w:uiPriority w:val="0"/>
    <w:pPr>
      <w:widowControl w:val="0"/>
      <w:jc w:val="both"/>
    </w:pPr>
    <w:rPr>
      <w:rFonts w:ascii="Calibri" w:hAnsi="Calibri" w:eastAsia="宋体" w:cs="Times New Roman"/>
      <w:lang w:val="en-US" w:eastAsia="zh-CN" w:bidi="ar-SA"/>
    </w:rPr>
  </w:style>
  <w:style w:type="paragraph" w:customStyle="1" w:styleId="284">
    <w:name w:val="Normal_147"/>
    <w:qFormat/>
    <w:uiPriority w:val="0"/>
    <w:pPr>
      <w:widowControl w:val="0"/>
      <w:jc w:val="both"/>
    </w:pPr>
    <w:rPr>
      <w:rFonts w:ascii="Calibri" w:hAnsi="Calibri" w:eastAsia="宋体" w:cs="Times New Roman"/>
      <w:lang w:val="en-US" w:eastAsia="zh-CN" w:bidi="ar-SA"/>
    </w:rPr>
  </w:style>
  <w:style w:type="paragraph" w:customStyle="1" w:styleId="285">
    <w:name w:val="Normal_148"/>
    <w:qFormat/>
    <w:uiPriority w:val="0"/>
    <w:pPr>
      <w:widowControl w:val="0"/>
      <w:jc w:val="both"/>
    </w:pPr>
    <w:rPr>
      <w:rFonts w:ascii="Calibri" w:hAnsi="Calibri" w:eastAsia="宋体" w:cs="Times New Roman"/>
      <w:lang w:val="en-US" w:eastAsia="zh-CN" w:bidi="ar-SA"/>
    </w:rPr>
  </w:style>
  <w:style w:type="paragraph" w:customStyle="1" w:styleId="286">
    <w:name w:val="Normal_149"/>
    <w:qFormat/>
    <w:uiPriority w:val="0"/>
    <w:pPr>
      <w:widowControl w:val="0"/>
      <w:jc w:val="both"/>
    </w:pPr>
    <w:rPr>
      <w:rFonts w:ascii="Calibri" w:hAnsi="Calibri" w:eastAsia="宋体" w:cs="Times New Roman"/>
      <w:lang w:val="en-US" w:eastAsia="zh-CN" w:bidi="ar-SA"/>
    </w:rPr>
  </w:style>
  <w:style w:type="paragraph" w:customStyle="1" w:styleId="287">
    <w:name w:val="Normal_150"/>
    <w:qFormat/>
    <w:uiPriority w:val="0"/>
    <w:pPr>
      <w:widowControl w:val="0"/>
      <w:jc w:val="both"/>
    </w:pPr>
    <w:rPr>
      <w:rFonts w:ascii="Calibri" w:hAnsi="Calibri" w:eastAsia="宋体" w:cs="Times New Roman"/>
      <w:lang w:val="en-US" w:eastAsia="zh-CN" w:bidi="ar-SA"/>
    </w:rPr>
  </w:style>
  <w:style w:type="paragraph" w:customStyle="1" w:styleId="288">
    <w:name w:val="Normal_151"/>
    <w:qFormat/>
    <w:uiPriority w:val="0"/>
    <w:pPr>
      <w:widowControl w:val="0"/>
      <w:jc w:val="both"/>
    </w:pPr>
    <w:rPr>
      <w:rFonts w:ascii="Calibri" w:hAnsi="Calibri" w:eastAsia="宋体" w:cs="Times New Roman"/>
      <w:lang w:val="en-US" w:eastAsia="zh-CN" w:bidi="ar-SA"/>
    </w:rPr>
  </w:style>
  <w:style w:type="paragraph" w:customStyle="1" w:styleId="289">
    <w:name w:val="Normal_152"/>
    <w:qFormat/>
    <w:uiPriority w:val="0"/>
    <w:pPr>
      <w:widowControl w:val="0"/>
      <w:jc w:val="both"/>
    </w:pPr>
    <w:rPr>
      <w:rFonts w:ascii="Calibri" w:hAnsi="Calibri" w:eastAsia="宋体" w:cs="Times New Roman"/>
      <w:lang w:val="en-US" w:eastAsia="zh-CN" w:bidi="ar-SA"/>
    </w:rPr>
  </w:style>
  <w:style w:type="paragraph" w:customStyle="1" w:styleId="290">
    <w:name w:val="Normal_153"/>
    <w:qFormat/>
    <w:uiPriority w:val="0"/>
    <w:pPr>
      <w:widowControl w:val="0"/>
      <w:jc w:val="both"/>
    </w:pPr>
    <w:rPr>
      <w:rFonts w:ascii="Calibri" w:hAnsi="Calibri" w:eastAsia="宋体" w:cs="Times New Roman"/>
      <w:lang w:val="en-US" w:eastAsia="zh-CN" w:bidi="ar-SA"/>
    </w:rPr>
  </w:style>
  <w:style w:type="paragraph" w:customStyle="1" w:styleId="291">
    <w:name w:val="Normal_154"/>
    <w:qFormat/>
    <w:uiPriority w:val="0"/>
    <w:pPr>
      <w:widowControl w:val="0"/>
      <w:jc w:val="both"/>
    </w:pPr>
    <w:rPr>
      <w:rFonts w:ascii="Calibri" w:hAnsi="Calibri" w:eastAsia="宋体" w:cs="Times New Roman"/>
      <w:lang w:val="en-US" w:eastAsia="zh-CN" w:bidi="ar-SA"/>
    </w:rPr>
  </w:style>
  <w:style w:type="paragraph" w:customStyle="1" w:styleId="292">
    <w:name w:val="Normal_155"/>
    <w:qFormat/>
    <w:uiPriority w:val="0"/>
    <w:pPr>
      <w:widowControl w:val="0"/>
      <w:jc w:val="both"/>
    </w:pPr>
    <w:rPr>
      <w:rFonts w:ascii="Calibri" w:hAnsi="Calibri" w:eastAsia="宋体" w:cs="Times New Roman"/>
      <w:lang w:val="en-US" w:eastAsia="zh-CN" w:bidi="ar-SA"/>
    </w:rPr>
  </w:style>
  <w:style w:type="paragraph" w:customStyle="1" w:styleId="293">
    <w:name w:val="Normal_156"/>
    <w:qFormat/>
    <w:uiPriority w:val="0"/>
    <w:pPr>
      <w:widowControl w:val="0"/>
      <w:jc w:val="both"/>
    </w:pPr>
    <w:rPr>
      <w:rFonts w:ascii="Calibri" w:hAnsi="Calibri" w:eastAsia="宋体" w:cs="Times New Roman"/>
      <w:lang w:val="en-US" w:eastAsia="zh-CN" w:bidi="ar-SA"/>
    </w:rPr>
  </w:style>
  <w:style w:type="paragraph" w:customStyle="1" w:styleId="294">
    <w:name w:val="Normal_157"/>
    <w:qFormat/>
    <w:uiPriority w:val="0"/>
    <w:pPr>
      <w:widowControl w:val="0"/>
      <w:jc w:val="both"/>
    </w:pPr>
    <w:rPr>
      <w:rFonts w:ascii="Calibri" w:hAnsi="Calibri" w:eastAsia="宋体" w:cs="Times New Roman"/>
      <w:lang w:val="en-US" w:eastAsia="zh-CN" w:bidi="ar-SA"/>
    </w:rPr>
  </w:style>
  <w:style w:type="paragraph" w:customStyle="1" w:styleId="295">
    <w:name w:val="Normal_158"/>
    <w:qFormat/>
    <w:uiPriority w:val="0"/>
    <w:pPr>
      <w:widowControl w:val="0"/>
      <w:jc w:val="both"/>
    </w:pPr>
    <w:rPr>
      <w:rFonts w:ascii="Calibri" w:hAnsi="Calibri" w:eastAsia="宋体" w:cs="Times New Roman"/>
      <w:lang w:val="en-US" w:eastAsia="zh-CN" w:bidi="ar-SA"/>
    </w:rPr>
  </w:style>
  <w:style w:type="paragraph" w:customStyle="1" w:styleId="296">
    <w:name w:val="Normal_159"/>
    <w:qFormat/>
    <w:uiPriority w:val="0"/>
    <w:pPr>
      <w:widowControl w:val="0"/>
      <w:jc w:val="both"/>
    </w:pPr>
    <w:rPr>
      <w:rFonts w:ascii="Calibri" w:hAnsi="Calibri" w:eastAsia="宋体" w:cs="Times New Roman"/>
      <w:lang w:val="en-US" w:eastAsia="zh-CN" w:bidi="ar-SA"/>
    </w:rPr>
  </w:style>
  <w:style w:type="paragraph" w:customStyle="1" w:styleId="297">
    <w:name w:val="Normal_160"/>
    <w:qFormat/>
    <w:uiPriority w:val="0"/>
    <w:pPr>
      <w:widowControl w:val="0"/>
      <w:jc w:val="both"/>
    </w:pPr>
    <w:rPr>
      <w:rFonts w:ascii="Calibri" w:hAnsi="Calibri" w:eastAsia="宋体" w:cs="Times New Roman"/>
      <w:lang w:val="en-US" w:eastAsia="zh-CN" w:bidi="ar-SA"/>
    </w:rPr>
  </w:style>
  <w:style w:type="paragraph" w:customStyle="1" w:styleId="298">
    <w:name w:val="Normal_161"/>
    <w:qFormat/>
    <w:uiPriority w:val="0"/>
    <w:pPr>
      <w:widowControl w:val="0"/>
      <w:jc w:val="both"/>
    </w:pPr>
    <w:rPr>
      <w:rFonts w:ascii="Calibri" w:hAnsi="Calibri" w:eastAsia="宋体" w:cs="Times New Roman"/>
      <w:lang w:val="en-US" w:eastAsia="zh-CN" w:bidi="ar-SA"/>
    </w:rPr>
  </w:style>
  <w:style w:type="paragraph" w:customStyle="1" w:styleId="299">
    <w:name w:val="Normal_162"/>
    <w:qFormat/>
    <w:uiPriority w:val="0"/>
    <w:pPr>
      <w:widowControl w:val="0"/>
      <w:jc w:val="both"/>
    </w:pPr>
    <w:rPr>
      <w:rFonts w:ascii="Calibri" w:hAnsi="Calibri" w:eastAsia="宋体" w:cs="Times New Roman"/>
      <w:lang w:val="en-US" w:eastAsia="zh-CN" w:bidi="ar-SA"/>
    </w:rPr>
  </w:style>
  <w:style w:type="paragraph" w:customStyle="1" w:styleId="300">
    <w:name w:val="Normal_163"/>
    <w:qFormat/>
    <w:uiPriority w:val="0"/>
    <w:pPr>
      <w:widowControl w:val="0"/>
      <w:jc w:val="both"/>
    </w:pPr>
    <w:rPr>
      <w:rFonts w:ascii="Calibri" w:hAnsi="Calibri" w:eastAsia="宋体" w:cs="Times New Roman"/>
      <w:lang w:val="en-US" w:eastAsia="zh-CN" w:bidi="ar-SA"/>
    </w:rPr>
  </w:style>
  <w:style w:type="paragraph" w:customStyle="1" w:styleId="301">
    <w:name w:val="Normal_164"/>
    <w:qFormat/>
    <w:uiPriority w:val="0"/>
    <w:pPr>
      <w:widowControl w:val="0"/>
      <w:jc w:val="both"/>
    </w:pPr>
    <w:rPr>
      <w:rFonts w:ascii="Calibri" w:hAnsi="Calibri" w:eastAsia="宋体" w:cs="Times New Roman"/>
      <w:lang w:val="en-US" w:eastAsia="zh-CN" w:bidi="ar-SA"/>
    </w:rPr>
  </w:style>
  <w:style w:type="paragraph" w:customStyle="1" w:styleId="302">
    <w:name w:val="Normal_165"/>
    <w:qFormat/>
    <w:uiPriority w:val="0"/>
    <w:pPr>
      <w:widowControl w:val="0"/>
      <w:jc w:val="both"/>
    </w:pPr>
    <w:rPr>
      <w:rFonts w:ascii="Calibri" w:hAnsi="Calibri" w:eastAsia="宋体" w:cs="Times New Roman"/>
      <w:lang w:val="en-US" w:eastAsia="zh-CN" w:bidi="ar-SA"/>
    </w:rPr>
  </w:style>
  <w:style w:type="paragraph" w:customStyle="1" w:styleId="303">
    <w:name w:val="Normal_98"/>
    <w:qFormat/>
    <w:uiPriority w:val="0"/>
    <w:pPr>
      <w:widowControl w:val="0"/>
      <w:jc w:val="both"/>
    </w:pPr>
    <w:rPr>
      <w:rFonts w:ascii="Times New Roman" w:hAnsi="Times New Roman" w:eastAsia="楷体_GB2312" w:cs="Times New Roman"/>
      <w:szCs w:val="24"/>
      <w:lang w:val="en-US" w:eastAsia="zh-CN" w:bidi="ar-SA"/>
    </w:rPr>
  </w:style>
  <w:style w:type="paragraph" w:customStyle="1" w:styleId="304">
    <w:name w:val="Normal_0"/>
    <w:qFormat/>
    <w:uiPriority w:val="0"/>
    <w:pPr>
      <w:widowControl w:val="0"/>
      <w:jc w:val="both"/>
    </w:pPr>
    <w:rPr>
      <w:rFonts w:ascii="Times New Roman" w:hAnsi="Times New Roman" w:eastAsia="楷体_GB2312" w:cs="Times New Roman"/>
      <w:szCs w:val="24"/>
      <w:lang w:val="en-US" w:eastAsia="zh-CN" w:bidi="ar-SA"/>
    </w:rPr>
  </w:style>
  <w:style w:type="paragraph" w:customStyle="1" w:styleId="305">
    <w:name w:val="Normal_1"/>
    <w:qFormat/>
    <w:uiPriority w:val="0"/>
    <w:pPr>
      <w:widowControl w:val="0"/>
      <w:jc w:val="both"/>
    </w:pPr>
    <w:rPr>
      <w:rFonts w:ascii="Times New Roman" w:hAnsi="Times New Roman" w:eastAsia="楷体_GB2312" w:cs="Times New Roman"/>
      <w:szCs w:val="24"/>
      <w:lang w:val="en-US" w:eastAsia="zh-CN" w:bidi="ar-SA"/>
    </w:rPr>
  </w:style>
  <w:style w:type="paragraph" w:customStyle="1" w:styleId="306">
    <w:name w:val="Normal_2"/>
    <w:qFormat/>
    <w:uiPriority w:val="0"/>
    <w:pPr>
      <w:widowControl w:val="0"/>
      <w:jc w:val="both"/>
    </w:pPr>
    <w:rPr>
      <w:rFonts w:ascii="Times New Roman" w:hAnsi="Times New Roman" w:eastAsia="楷体_GB2312" w:cs="Times New Roman"/>
      <w:szCs w:val="24"/>
      <w:lang w:val="en-US" w:eastAsia="zh-CN" w:bidi="ar-SA"/>
    </w:rPr>
  </w:style>
  <w:style w:type="paragraph" w:customStyle="1" w:styleId="307">
    <w:name w:val="Normal_3"/>
    <w:qFormat/>
    <w:uiPriority w:val="0"/>
    <w:pPr>
      <w:widowControl w:val="0"/>
      <w:jc w:val="both"/>
    </w:pPr>
    <w:rPr>
      <w:rFonts w:ascii="Times New Roman" w:hAnsi="Times New Roman" w:eastAsia="楷体_GB2312" w:cs="Times New Roman"/>
      <w:szCs w:val="24"/>
      <w:lang w:val="en-US" w:eastAsia="zh-CN" w:bidi="ar-SA"/>
    </w:rPr>
  </w:style>
  <w:style w:type="paragraph" w:customStyle="1" w:styleId="308">
    <w:name w:val="Normal_4"/>
    <w:qFormat/>
    <w:uiPriority w:val="0"/>
    <w:pPr>
      <w:widowControl w:val="0"/>
      <w:jc w:val="both"/>
    </w:pPr>
    <w:rPr>
      <w:rFonts w:ascii="Times New Roman" w:hAnsi="Times New Roman" w:eastAsia="楷体_GB2312" w:cs="Times New Roman"/>
      <w:szCs w:val="24"/>
      <w:lang w:val="en-US" w:eastAsia="zh-CN" w:bidi="ar-SA"/>
    </w:rPr>
  </w:style>
  <w:style w:type="paragraph" w:customStyle="1" w:styleId="309">
    <w:name w:val="Normal_5"/>
    <w:qFormat/>
    <w:uiPriority w:val="0"/>
    <w:pPr>
      <w:widowControl w:val="0"/>
      <w:jc w:val="both"/>
    </w:pPr>
    <w:rPr>
      <w:rFonts w:ascii="Times New Roman" w:hAnsi="Times New Roman" w:eastAsia="楷体_GB2312" w:cs="Times New Roman"/>
      <w:szCs w:val="24"/>
      <w:lang w:val="en-US" w:eastAsia="zh-CN" w:bidi="ar-SA"/>
    </w:rPr>
  </w:style>
  <w:style w:type="paragraph" w:customStyle="1" w:styleId="310">
    <w:name w:val="Normal_6"/>
    <w:qFormat/>
    <w:uiPriority w:val="0"/>
    <w:pPr>
      <w:widowControl w:val="0"/>
      <w:jc w:val="both"/>
    </w:pPr>
    <w:rPr>
      <w:rFonts w:ascii="Times New Roman" w:hAnsi="Times New Roman" w:eastAsia="楷体_GB2312" w:cs="Times New Roman"/>
      <w:szCs w:val="24"/>
      <w:lang w:val="en-US" w:eastAsia="zh-CN" w:bidi="ar-SA"/>
    </w:rPr>
  </w:style>
  <w:style w:type="paragraph" w:customStyle="1" w:styleId="311">
    <w:name w:val="Normal_7"/>
    <w:qFormat/>
    <w:uiPriority w:val="0"/>
    <w:pPr>
      <w:widowControl w:val="0"/>
      <w:jc w:val="both"/>
    </w:pPr>
    <w:rPr>
      <w:rFonts w:ascii="Times New Roman" w:hAnsi="Times New Roman" w:eastAsia="楷体_GB2312" w:cs="Times New Roman"/>
      <w:szCs w:val="24"/>
      <w:lang w:val="en-US" w:eastAsia="zh-CN" w:bidi="ar-SA"/>
    </w:rPr>
  </w:style>
  <w:style w:type="paragraph" w:customStyle="1" w:styleId="312">
    <w:name w:val="Normal_8"/>
    <w:qFormat/>
    <w:uiPriority w:val="0"/>
    <w:pPr>
      <w:widowControl w:val="0"/>
      <w:jc w:val="both"/>
    </w:pPr>
    <w:rPr>
      <w:rFonts w:ascii="Times New Roman" w:hAnsi="Times New Roman" w:eastAsia="楷体_GB2312" w:cs="Times New Roman"/>
      <w:szCs w:val="24"/>
      <w:lang w:val="en-US" w:eastAsia="zh-CN" w:bidi="ar-SA"/>
    </w:rPr>
  </w:style>
  <w:style w:type="paragraph" w:customStyle="1" w:styleId="313">
    <w:name w:val="Normal_9"/>
    <w:qFormat/>
    <w:uiPriority w:val="0"/>
    <w:pPr>
      <w:widowControl w:val="0"/>
      <w:jc w:val="both"/>
    </w:pPr>
    <w:rPr>
      <w:rFonts w:ascii="Times New Roman" w:hAnsi="Times New Roman" w:eastAsia="楷体_GB2312" w:cs="Times New Roman"/>
      <w:szCs w:val="24"/>
      <w:lang w:val="en-US" w:eastAsia="zh-CN" w:bidi="ar-SA"/>
    </w:rPr>
  </w:style>
  <w:style w:type="paragraph" w:customStyle="1" w:styleId="314">
    <w:name w:val="Normal_10"/>
    <w:qFormat/>
    <w:uiPriority w:val="0"/>
    <w:pPr>
      <w:widowControl w:val="0"/>
      <w:jc w:val="both"/>
    </w:pPr>
    <w:rPr>
      <w:rFonts w:ascii="Times New Roman" w:hAnsi="Times New Roman" w:eastAsia="楷体_GB2312" w:cs="Times New Roman"/>
      <w:szCs w:val="24"/>
      <w:lang w:val="en-US" w:eastAsia="zh-CN" w:bidi="ar-SA"/>
    </w:rPr>
  </w:style>
  <w:style w:type="paragraph" w:customStyle="1" w:styleId="315">
    <w:name w:val="Normal_11"/>
    <w:qFormat/>
    <w:uiPriority w:val="0"/>
    <w:pPr>
      <w:widowControl w:val="0"/>
      <w:jc w:val="both"/>
    </w:pPr>
    <w:rPr>
      <w:rFonts w:ascii="Times New Roman" w:hAnsi="Times New Roman" w:eastAsia="楷体_GB2312" w:cs="Times New Roman"/>
      <w:szCs w:val="24"/>
      <w:lang w:val="en-US" w:eastAsia="zh-CN" w:bidi="ar-SA"/>
    </w:rPr>
  </w:style>
  <w:style w:type="paragraph" w:customStyle="1" w:styleId="316">
    <w:name w:val="Normal_12"/>
    <w:qFormat/>
    <w:uiPriority w:val="0"/>
    <w:pPr>
      <w:widowControl w:val="0"/>
      <w:jc w:val="both"/>
    </w:pPr>
    <w:rPr>
      <w:rFonts w:ascii="Times New Roman" w:hAnsi="Times New Roman" w:eastAsia="楷体_GB2312" w:cs="Times New Roman"/>
      <w:szCs w:val="24"/>
      <w:lang w:val="en-US" w:eastAsia="zh-CN" w:bidi="ar-SA"/>
    </w:rPr>
  </w:style>
  <w:style w:type="paragraph" w:customStyle="1" w:styleId="317">
    <w:name w:val="Normal_13"/>
    <w:qFormat/>
    <w:uiPriority w:val="0"/>
    <w:pPr>
      <w:widowControl w:val="0"/>
      <w:jc w:val="both"/>
    </w:pPr>
    <w:rPr>
      <w:rFonts w:ascii="Times New Roman" w:hAnsi="Times New Roman" w:eastAsia="楷体_GB2312" w:cs="Times New Roman"/>
      <w:szCs w:val="24"/>
      <w:lang w:val="en-US" w:eastAsia="zh-CN" w:bidi="ar-SA"/>
    </w:rPr>
  </w:style>
  <w:style w:type="paragraph" w:customStyle="1" w:styleId="318">
    <w:name w:val="Normal_14"/>
    <w:qFormat/>
    <w:uiPriority w:val="0"/>
    <w:pPr>
      <w:widowControl w:val="0"/>
      <w:jc w:val="both"/>
    </w:pPr>
    <w:rPr>
      <w:rFonts w:ascii="Times New Roman" w:hAnsi="Times New Roman" w:eastAsia="楷体_GB2312" w:cs="Times New Roman"/>
      <w:szCs w:val="24"/>
      <w:lang w:val="en-US" w:eastAsia="zh-CN" w:bidi="ar-SA"/>
    </w:rPr>
  </w:style>
  <w:style w:type="paragraph" w:customStyle="1" w:styleId="319">
    <w:name w:val="Normal_15"/>
    <w:qFormat/>
    <w:uiPriority w:val="0"/>
    <w:pPr>
      <w:widowControl w:val="0"/>
      <w:jc w:val="both"/>
    </w:pPr>
    <w:rPr>
      <w:rFonts w:ascii="Times New Roman" w:hAnsi="Times New Roman" w:eastAsia="楷体_GB2312" w:cs="Times New Roman"/>
      <w:szCs w:val="24"/>
      <w:lang w:val="en-US" w:eastAsia="zh-CN" w:bidi="ar-SA"/>
    </w:rPr>
  </w:style>
  <w:style w:type="paragraph" w:customStyle="1" w:styleId="320">
    <w:name w:val="Normal_16"/>
    <w:qFormat/>
    <w:uiPriority w:val="0"/>
    <w:pPr>
      <w:widowControl w:val="0"/>
      <w:jc w:val="both"/>
    </w:pPr>
    <w:rPr>
      <w:rFonts w:ascii="Times New Roman" w:hAnsi="Times New Roman" w:eastAsia="楷体_GB2312" w:cs="Times New Roman"/>
      <w:szCs w:val="24"/>
      <w:lang w:val="en-US" w:eastAsia="zh-CN" w:bidi="ar-SA"/>
    </w:rPr>
  </w:style>
  <w:style w:type="paragraph" w:customStyle="1" w:styleId="321">
    <w:name w:val="Normal_17"/>
    <w:qFormat/>
    <w:uiPriority w:val="0"/>
    <w:pPr>
      <w:widowControl w:val="0"/>
      <w:jc w:val="both"/>
    </w:pPr>
    <w:rPr>
      <w:rFonts w:ascii="Times New Roman" w:hAnsi="Times New Roman" w:eastAsia="楷体_GB2312" w:cs="Times New Roman"/>
      <w:szCs w:val="24"/>
      <w:lang w:val="en-US" w:eastAsia="zh-CN" w:bidi="ar-SA"/>
    </w:rPr>
  </w:style>
  <w:style w:type="paragraph" w:customStyle="1" w:styleId="322">
    <w:name w:val="Normal_18"/>
    <w:qFormat/>
    <w:uiPriority w:val="0"/>
    <w:pPr>
      <w:widowControl w:val="0"/>
      <w:jc w:val="both"/>
    </w:pPr>
    <w:rPr>
      <w:rFonts w:ascii="Times New Roman" w:hAnsi="Times New Roman" w:eastAsia="楷体_GB2312" w:cs="Times New Roman"/>
      <w:szCs w:val="24"/>
      <w:lang w:val="en-US" w:eastAsia="zh-CN" w:bidi="ar-SA"/>
    </w:rPr>
  </w:style>
  <w:style w:type="paragraph" w:customStyle="1" w:styleId="323">
    <w:name w:val="Normal_19"/>
    <w:qFormat/>
    <w:uiPriority w:val="0"/>
    <w:pPr>
      <w:widowControl w:val="0"/>
      <w:jc w:val="both"/>
    </w:pPr>
    <w:rPr>
      <w:rFonts w:ascii="Times New Roman" w:hAnsi="Times New Roman" w:eastAsia="楷体_GB2312" w:cs="Times New Roman"/>
      <w:szCs w:val="24"/>
      <w:lang w:val="en-US" w:eastAsia="zh-CN" w:bidi="ar-SA"/>
    </w:rPr>
  </w:style>
  <w:style w:type="paragraph" w:customStyle="1" w:styleId="324">
    <w:name w:val="Normal_20"/>
    <w:qFormat/>
    <w:uiPriority w:val="0"/>
    <w:pPr>
      <w:widowControl w:val="0"/>
      <w:jc w:val="both"/>
    </w:pPr>
    <w:rPr>
      <w:rFonts w:ascii="Times New Roman" w:hAnsi="Times New Roman" w:eastAsia="楷体_GB2312" w:cs="Times New Roman"/>
      <w:szCs w:val="24"/>
      <w:lang w:val="en-US" w:eastAsia="zh-CN" w:bidi="ar-SA"/>
    </w:rPr>
  </w:style>
  <w:style w:type="paragraph" w:customStyle="1" w:styleId="325">
    <w:name w:val="Normal_21"/>
    <w:qFormat/>
    <w:uiPriority w:val="0"/>
    <w:pPr>
      <w:widowControl w:val="0"/>
      <w:jc w:val="both"/>
    </w:pPr>
    <w:rPr>
      <w:rFonts w:ascii="Times New Roman" w:hAnsi="Times New Roman" w:eastAsia="楷体_GB2312" w:cs="Times New Roman"/>
      <w:szCs w:val="24"/>
      <w:lang w:val="en-US" w:eastAsia="zh-CN" w:bidi="ar-SA"/>
    </w:rPr>
  </w:style>
  <w:style w:type="paragraph" w:customStyle="1" w:styleId="326">
    <w:name w:val="Normal_22"/>
    <w:qFormat/>
    <w:uiPriority w:val="0"/>
    <w:pPr>
      <w:widowControl w:val="0"/>
      <w:jc w:val="both"/>
    </w:pPr>
    <w:rPr>
      <w:rFonts w:ascii="Times New Roman" w:hAnsi="Times New Roman" w:eastAsia="楷体_GB2312" w:cs="Times New Roman"/>
      <w:szCs w:val="24"/>
      <w:lang w:val="en-US" w:eastAsia="zh-CN" w:bidi="ar-SA"/>
    </w:rPr>
  </w:style>
  <w:style w:type="paragraph" w:customStyle="1" w:styleId="327">
    <w:name w:val="Normal_23"/>
    <w:qFormat/>
    <w:uiPriority w:val="0"/>
    <w:pPr>
      <w:widowControl w:val="0"/>
      <w:jc w:val="both"/>
    </w:pPr>
    <w:rPr>
      <w:rFonts w:ascii="Times New Roman" w:hAnsi="Times New Roman" w:eastAsia="楷体_GB2312" w:cs="Times New Roman"/>
      <w:szCs w:val="24"/>
      <w:lang w:val="en-US" w:eastAsia="zh-CN" w:bidi="ar-SA"/>
    </w:rPr>
  </w:style>
  <w:style w:type="paragraph" w:customStyle="1" w:styleId="328">
    <w:name w:val="Normal_24"/>
    <w:qFormat/>
    <w:uiPriority w:val="0"/>
    <w:pPr>
      <w:widowControl w:val="0"/>
      <w:jc w:val="both"/>
    </w:pPr>
    <w:rPr>
      <w:rFonts w:ascii="Times New Roman" w:hAnsi="Times New Roman" w:eastAsia="楷体_GB2312" w:cs="Times New Roman"/>
      <w:szCs w:val="24"/>
      <w:lang w:val="en-US" w:eastAsia="zh-CN" w:bidi="ar-SA"/>
    </w:rPr>
  </w:style>
  <w:style w:type="paragraph" w:customStyle="1" w:styleId="329">
    <w:name w:val="Normal_25"/>
    <w:qFormat/>
    <w:uiPriority w:val="0"/>
    <w:pPr>
      <w:widowControl w:val="0"/>
      <w:jc w:val="both"/>
    </w:pPr>
    <w:rPr>
      <w:rFonts w:ascii="Times New Roman" w:hAnsi="Times New Roman" w:eastAsia="楷体_GB2312" w:cs="Times New Roman"/>
      <w:szCs w:val="24"/>
      <w:lang w:val="en-US" w:eastAsia="zh-CN" w:bidi="ar-SA"/>
    </w:rPr>
  </w:style>
  <w:style w:type="paragraph" w:customStyle="1" w:styleId="330">
    <w:name w:val="Normal_26"/>
    <w:qFormat/>
    <w:uiPriority w:val="0"/>
    <w:pPr>
      <w:widowControl w:val="0"/>
      <w:jc w:val="both"/>
    </w:pPr>
    <w:rPr>
      <w:rFonts w:ascii="Times New Roman" w:hAnsi="Times New Roman" w:eastAsia="楷体_GB2312" w:cs="Times New Roman"/>
      <w:szCs w:val="24"/>
      <w:lang w:val="en-US" w:eastAsia="zh-CN" w:bidi="ar-SA"/>
    </w:rPr>
  </w:style>
  <w:style w:type="paragraph" w:customStyle="1" w:styleId="331">
    <w:name w:val="Normal_27"/>
    <w:qFormat/>
    <w:uiPriority w:val="0"/>
    <w:pPr>
      <w:widowControl w:val="0"/>
      <w:jc w:val="both"/>
    </w:pPr>
    <w:rPr>
      <w:rFonts w:ascii="Times New Roman" w:hAnsi="Times New Roman" w:eastAsia="楷体_GB2312" w:cs="Times New Roman"/>
      <w:szCs w:val="24"/>
      <w:lang w:val="en-US" w:eastAsia="zh-CN" w:bidi="ar-SA"/>
    </w:rPr>
  </w:style>
  <w:style w:type="paragraph" w:customStyle="1" w:styleId="332">
    <w:name w:val="Normal_28"/>
    <w:qFormat/>
    <w:uiPriority w:val="0"/>
    <w:pPr>
      <w:widowControl w:val="0"/>
      <w:jc w:val="both"/>
    </w:pPr>
    <w:rPr>
      <w:rFonts w:ascii="Times New Roman" w:hAnsi="Times New Roman" w:eastAsia="楷体_GB2312" w:cs="Times New Roman"/>
      <w:szCs w:val="24"/>
      <w:lang w:val="en-US" w:eastAsia="zh-CN" w:bidi="ar-SA"/>
    </w:rPr>
  </w:style>
  <w:style w:type="paragraph" w:customStyle="1" w:styleId="333">
    <w:name w:val="Normal_29"/>
    <w:qFormat/>
    <w:uiPriority w:val="0"/>
    <w:pPr>
      <w:widowControl w:val="0"/>
      <w:jc w:val="both"/>
    </w:pPr>
    <w:rPr>
      <w:rFonts w:ascii="Times New Roman" w:hAnsi="Times New Roman" w:eastAsia="楷体_GB2312" w:cs="Times New Roman"/>
      <w:szCs w:val="24"/>
      <w:lang w:val="en-US" w:eastAsia="zh-CN" w:bidi="ar-SA"/>
    </w:rPr>
  </w:style>
  <w:style w:type="paragraph" w:customStyle="1" w:styleId="334">
    <w:name w:val="Normal_30"/>
    <w:qFormat/>
    <w:uiPriority w:val="0"/>
    <w:pPr>
      <w:widowControl w:val="0"/>
      <w:jc w:val="both"/>
    </w:pPr>
    <w:rPr>
      <w:rFonts w:ascii="Times New Roman" w:hAnsi="Times New Roman" w:eastAsia="楷体_GB2312" w:cs="Times New Roman"/>
      <w:szCs w:val="24"/>
      <w:lang w:val="en-US" w:eastAsia="zh-CN" w:bidi="ar-SA"/>
    </w:rPr>
  </w:style>
  <w:style w:type="paragraph" w:customStyle="1" w:styleId="335">
    <w:name w:val="Normal_31"/>
    <w:qFormat/>
    <w:uiPriority w:val="0"/>
    <w:pPr>
      <w:widowControl w:val="0"/>
      <w:jc w:val="both"/>
    </w:pPr>
    <w:rPr>
      <w:rFonts w:ascii="Times New Roman" w:hAnsi="Times New Roman" w:eastAsia="楷体_GB2312" w:cs="Times New Roman"/>
      <w:szCs w:val="24"/>
      <w:lang w:val="en-US" w:eastAsia="zh-CN" w:bidi="ar-SA"/>
    </w:rPr>
  </w:style>
  <w:style w:type="paragraph" w:customStyle="1" w:styleId="336">
    <w:name w:val="Normal_32"/>
    <w:qFormat/>
    <w:uiPriority w:val="0"/>
    <w:pPr>
      <w:widowControl w:val="0"/>
      <w:jc w:val="both"/>
    </w:pPr>
    <w:rPr>
      <w:rFonts w:ascii="Times New Roman" w:hAnsi="Times New Roman" w:eastAsia="楷体_GB2312" w:cs="Times New Roman"/>
      <w:szCs w:val="24"/>
      <w:lang w:val="en-US" w:eastAsia="zh-CN" w:bidi="ar-SA"/>
    </w:rPr>
  </w:style>
  <w:style w:type="paragraph" w:customStyle="1" w:styleId="337">
    <w:name w:val="Normal_33"/>
    <w:qFormat/>
    <w:uiPriority w:val="0"/>
    <w:pPr>
      <w:widowControl w:val="0"/>
      <w:jc w:val="both"/>
    </w:pPr>
    <w:rPr>
      <w:rFonts w:ascii="Times New Roman" w:hAnsi="Times New Roman" w:eastAsia="楷体_GB2312" w:cs="Times New Roman"/>
      <w:szCs w:val="24"/>
      <w:lang w:val="en-US" w:eastAsia="zh-CN" w:bidi="ar-SA"/>
    </w:rPr>
  </w:style>
  <w:style w:type="paragraph" w:customStyle="1" w:styleId="338">
    <w:name w:val="Normal_34"/>
    <w:qFormat/>
    <w:uiPriority w:val="0"/>
    <w:pPr>
      <w:widowControl w:val="0"/>
      <w:jc w:val="both"/>
    </w:pPr>
    <w:rPr>
      <w:rFonts w:ascii="Times New Roman" w:hAnsi="Times New Roman" w:eastAsia="楷体_GB2312" w:cs="Times New Roman"/>
      <w:szCs w:val="24"/>
      <w:lang w:val="en-US" w:eastAsia="zh-CN" w:bidi="ar-SA"/>
    </w:rPr>
  </w:style>
  <w:style w:type="paragraph" w:customStyle="1" w:styleId="339">
    <w:name w:val="Normal_35"/>
    <w:qFormat/>
    <w:uiPriority w:val="0"/>
    <w:pPr>
      <w:widowControl w:val="0"/>
      <w:jc w:val="both"/>
    </w:pPr>
    <w:rPr>
      <w:rFonts w:ascii="Times New Roman" w:hAnsi="Times New Roman" w:eastAsia="楷体_GB2312" w:cs="Times New Roman"/>
      <w:szCs w:val="24"/>
      <w:lang w:val="en-US" w:eastAsia="zh-CN" w:bidi="ar-SA"/>
    </w:rPr>
  </w:style>
  <w:style w:type="paragraph" w:customStyle="1" w:styleId="340">
    <w:name w:val="Normal_36"/>
    <w:qFormat/>
    <w:uiPriority w:val="0"/>
    <w:pPr>
      <w:widowControl w:val="0"/>
      <w:jc w:val="both"/>
    </w:pPr>
    <w:rPr>
      <w:rFonts w:ascii="Times New Roman" w:hAnsi="Times New Roman" w:eastAsia="楷体_GB2312" w:cs="Times New Roman"/>
      <w:szCs w:val="24"/>
      <w:lang w:val="en-US" w:eastAsia="zh-CN" w:bidi="ar-SA"/>
    </w:rPr>
  </w:style>
  <w:style w:type="paragraph" w:customStyle="1" w:styleId="341">
    <w:name w:val="Normal_37"/>
    <w:qFormat/>
    <w:uiPriority w:val="0"/>
    <w:pPr>
      <w:widowControl w:val="0"/>
      <w:jc w:val="both"/>
    </w:pPr>
    <w:rPr>
      <w:rFonts w:ascii="Times New Roman" w:hAnsi="Times New Roman" w:eastAsia="楷体_GB2312" w:cs="Times New Roman"/>
      <w:szCs w:val="24"/>
      <w:lang w:val="en-US" w:eastAsia="zh-CN" w:bidi="ar-SA"/>
    </w:rPr>
  </w:style>
  <w:style w:type="paragraph" w:customStyle="1" w:styleId="342">
    <w:name w:val="Normal_38"/>
    <w:qFormat/>
    <w:uiPriority w:val="0"/>
    <w:pPr>
      <w:widowControl w:val="0"/>
      <w:jc w:val="both"/>
    </w:pPr>
    <w:rPr>
      <w:rFonts w:ascii="Times New Roman" w:hAnsi="Times New Roman" w:eastAsia="楷体_GB2312" w:cs="Times New Roman"/>
      <w:szCs w:val="24"/>
      <w:lang w:val="en-US" w:eastAsia="zh-CN" w:bidi="ar-SA"/>
    </w:rPr>
  </w:style>
  <w:style w:type="paragraph" w:customStyle="1" w:styleId="343">
    <w:name w:val="Normal_39"/>
    <w:qFormat/>
    <w:uiPriority w:val="0"/>
    <w:pPr>
      <w:widowControl w:val="0"/>
      <w:jc w:val="both"/>
    </w:pPr>
    <w:rPr>
      <w:rFonts w:ascii="Times New Roman" w:hAnsi="Times New Roman" w:eastAsia="楷体_GB2312" w:cs="Times New Roman"/>
      <w:szCs w:val="24"/>
      <w:lang w:val="en-US" w:eastAsia="zh-CN" w:bidi="ar-SA"/>
    </w:rPr>
  </w:style>
  <w:style w:type="paragraph" w:customStyle="1" w:styleId="344">
    <w:name w:val="Normal_40"/>
    <w:qFormat/>
    <w:uiPriority w:val="0"/>
    <w:pPr>
      <w:widowControl w:val="0"/>
      <w:jc w:val="both"/>
    </w:pPr>
    <w:rPr>
      <w:rFonts w:ascii="Times New Roman" w:hAnsi="Times New Roman" w:eastAsia="楷体_GB2312" w:cs="Times New Roman"/>
      <w:szCs w:val="24"/>
      <w:lang w:val="en-US" w:eastAsia="zh-CN" w:bidi="ar-SA"/>
    </w:rPr>
  </w:style>
  <w:style w:type="paragraph" w:customStyle="1" w:styleId="345">
    <w:name w:val="Normal_41"/>
    <w:qFormat/>
    <w:uiPriority w:val="0"/>
    <w:pPr>
      <w:widowControl w:val="0"/>
      <w:jc w:val="both"/>
    </w:pPr>
    <w:rPr>
      <w:rFonts w:ascii="Times New Roman" w:hAnsi="Times New Roman" w:eastAsia="楷体_GB2312" w:cs="Times New Roman"/>
      <w:szCs w:val="24"/>
      <w:lang w:val="en-US" w:eastAsia="zh-CN" w:bidi="ar-SA"/>
    </w:rPr>
  </w:style>
  <w:style w:type="paragraph" w:customStyle="1" w:styleId="346">
    <w:name w:val="Normal_42"/>
    <w:qFormat/>
    <w:uiPriority w:val="0"/>
    <w:pPr>
      <w:widowControl w:val="0"/>
      <w:jc w:val="both"/>
    </w:pPr>
    <w:rPr>
      <w:rFonts w:ascii="Times New Roman" w:hAnsi="Times New Roman" w:eastAsia="楷体_GB2312" w:cs="Times New Roman"/>
      <w:szCs w:val="24"/>
      <w:lang w:val="en-US" w:eastAsia="zh-CN" w:bidi="ar-SA"/>
    </w:rPr>
  </w:style>
  <w:style w:type="paragraph" w:customStyle="1" w:styleId="347">
    <w:name w:val="Normal_43"/>
    <w:qFormat/>
    <w:uiPriority w:val="0"/>
    <w:pPr>
      <w:widowControl w:val="0"/>
      <w:jc w:val="both"/>
    </w:pPr>
    <w:rPr>
      <w:rFonts w:ascii="Times New Roman" w:hAnsi="Times New Roman" w:eastAsia="楷体_GB2312" w:cs="Times New Roman"/>
      <w:szCs w:val="24"/>
      <w:lang w:val="en-US" w:eastAsia="zh-CN" w:bidi="ar-SA"/>
    </w:rPr>
  </w:style>
  <w:style w:type="paragraph" w:customStyle="1" w:styleId="348">
    <w:name w:val="Normal_44"/>
    <w:qFormat/>
    <w:uiPriority w:val="0"/>
    <w:pPr>
      <w:widowControl w:val="0"/>
      <w:jc w:val="both"/>
    </w:pPr>
    <w:rPr>
      <w:rFonts w:ascii="Times New Roman" w:hAnsi="Times New Roman" w:eastAsia="楷体_GB2312" w:cs="Times New Roman"/>
      <w:szCs w:val="24"/>
      <w:lang w:val="en-US" w:eastAsia="zh-CN" w:bidi="ar-SA"/>
    </w:rPr>
  </w:style>
  <w:style w:type="paragraph" w:customStyle="1" w:styleId="349">
    <w:name w:val="Normal_45"/>
    <w:qFormat/>
    <w:uiPriority w:val="0"/>
    <w:pPr>
      <w:widowControl w:val="0"/>
      <w:jc w:val="both"/>
    </w:pPr>
    <w:rPr>
      <w:rFonts w:ascii="Times New Roman" w:hAnsi="Times New Roman" w:eastAsia="楷体_GB2312" w:cs="Times New Roman"/>
      <w:szCs w:val="24"/>
      <w:lang w:val="en-US" w:eastAsia="zh-CN" w:bidi="ar-SA"/>
    </w:rPr>
  </w:style>
  <w:style w:type="paragraph" w:customStyle="1" w:styleId="350">
    <w:name w:val="Normal_46"/>
    <w:qFormat/>
    <w:uiPriority w:val="0"/>
    <w:pPr>
      <w:widowControl w:val="0"/>
      <w:jc w:val="both"/>
    </w:pPr>
    <w:rPr>
      <w:rFonts w:ascii="Times New Roman" w:hAnsi="Times New Roman" w:eastAsia="楷体_GB2312" w:cs="Times New Roman"/>
      <w:szCs w:val="24"/>
      <w:lang w:val="en-US" w:eastAsia="zh-CN" w:bidi="ar-SA"/>
    </w:rPr>
  </w:style>
  <w:style w:type="paragraph" w:customStyle="1" w:styleId="351">
    <w:name w:val="Normal_47"/>
    <w:qFormat/>
    <w:uiPriority w:val="0"/>
    <w:pPr>
      <w:widowControl w:val="0"/>
      <w:jc w:val="both"/>
    </w:pPr>
    <w:rPr>
      <w:rFonts w:ascii="Times New Roman" w:hAnsi="Times New Roman" w:eastAsia="楷体_GB2312" w:cs="Times New Roman"/>
      <w:szCs w:val="24"/>
      <w:lang w:val="en-US" w:eastAsia="zh-CN" w:bidi="ar-SA"/>
    </w:rPr>
  </w:style>
  <w:style w:type="paragraph" w:customStyle="1" w:styleId="352">
    <w:name w:val="Normal_48"/>
    <w:qFormat/>
    <w:uiPriority w:val="0"/>
    <w:pPr>
      <w:widowControl w:val="0"/>
      <w:jc w:val="both"/>
    </w:pPr>
    <w:rPr>
      <w:rFonts w:ascii="Times New Roman" w:hAnsi="Times New Roman" w:eastAsia="楷体_GB2312" w:cs="Times New Roman"/>
      <w:szCs w:val="24"/>
      <w:lang w:val="en-US" w:eastAsia="zh-CN" w:bidi="ar-SA"/>
    </w:rPr>
  </w:style>
  <w:style w:type="paragraph" w:customStyle="1" w:styleId="353">
    <w:name w:val="Normal_49"/>
    <w:qFormat/>
    <w:uiPriority w:val="0"/>
    <w:pPr>
      <w:widowControl w:val="0"/>
      <w:jc w:val="both"/>
    </w:pPr>
    <w:rPr>
      <w:rFonts w:ascii="Times New Roman" w:hAnsi="Times New Roman" w:eastAsia="楷体_GB2312" w:cs="Times New Roman"/>
      <w:szCs w:val="24"/>
      <w:lang w:val="en-US" w:eastAsia="zh-CN" w:bidi="ar-SA"/>
    </w:rPr>
  </w:style>
  <w:style w:type="paragraph" w:customStyle="1" w:styleId="354">
    <w:name w:val="Normal_50"/>
    <w:qFormat/>
    <w:uiPriority w:val="0"/>
    <w:pPr>
      <w:widowControl w:val="0"/>
      <w:jc w:val="both"/>
    </w:pPr>
    <w:rPr>
      <w:rFonts w:ascii="Times New Roman" w:hAnsi="Times New Roman" w:eastAsia="楷体_GB2312" w:cs="Times New Roman"/>
      <w:szCs w:val="24"/>
      <w:lang w:val="en-US" w:eastAsia="zh-CN" w:bidi="ar-SA"/>
    </w:rPr>
  </w:style>
  <w:style w:type="paragraph" w:customStyle="1" w:styleId="355">
    <w:name w:val="Normal_51"/>
    <w:qFormat/>
    <w:uiPriority w:val="0"/>
    <w:pPr>
      <w:widowControl w:val="0"/>
      <w:jc w:val="both"/>
    </w:pPr>
    <w:rPr>
      <w:rFonts w:ascii="Times New Roman" w:hAnsi="Times New Roman" w:eastAsia="楷体_GB2312" w:cs="Times New Roman"/>
      <w:szCs w:val="24"/>
      <w:lang w:val="en-US" w:eastAsia="zh-CN" w:bidi="ar-SA"/>
    </w:rPr>
  </w:style>
  <w:style w:type="paragraph" w:customStyle="1" w:styleId="356">
    <w:name w:val="Normal_52"/>
    <w:qFormat/>
    <w:uiPriority w:val="0"/>
    <w:pPr>
      <w:widowControl w:val="0"/>
      <w:jc w:val="both"/>
    </w:pPr>
    <w:rPr>
      <w:rFonts w:ascii="Times New Roman" w:hAnsi="Times New Roman" w:eastAsia="楷体_GB2312" w:cs="Times New Roman"/>
      <w:szCs w:val="24"/>
      <w:lang w:val="en-US" w:eastAsia="zh-CN" w:bidi="ar-SA"/>
    </w:rPr>
  </w:style>
  <w:style w:type="paragraph" w:customStyle="1" w:styleId="357">
    <w:name w:val="Normal_53"/>
    <w:qFormat/>
    <w:uiPriority w:val="0"/>
    <w:pPr>
      <w:widowControl w:val="0"/>
      <w:jc w:val="both"/>
    </w:pPr>
    <w:rPr>
      <w:rFonts w:ascii="Times New Roman" w:hAnsi="Times New Roman" w:eastAsia="楷体_GB2312" w:cs="Times New Roman"/>
      <w:szCs w:val="24"/>
      <w:lang w:val="en-US" w:eastAsia="zh-CN" w:bidi="ar-SA"/>
    </w:rPr>
  </w:style>
  <w:style w:type="paragraph" w:customStyle="1" w:styleId="358">
    <w:name w:val="Normal_54"/>
    <w:qFormat/>
    <w:uiPriority w:val="0"/>
    <w:pPr>
      <w:widowControl w:val="0"/>
      <w:jc w:val="both"/>
    </w:pPr>
    <w:rPr>
      <w:rFonts w:ascii="Times New Roman" w:hAnsi="Times New Roman" w:eastAsia="楷体_GB2312" w:cs="Times New Roman"/>
      <w:szCs w:val="24"/>
      <w:lang w:val="en-US" w:eastAsia="zh-CN" w:bidi="ar-SA"/>
    </w:rPr>
  </w:style>
  <w:style w:type="paragraph" w:customStyle="1" w:styleId="359">
    <w:name w:val="Normal_55"/>
    <w:qFormat/>
    <w:uiPriority w:val="0"/>
    <w:pPr>
      <w:widowControl w:val="0"/>
      <w:jc w:val="both"/>
    </w:pPr>
    <w:rPr>
      <w:rFonts w:ascii="Times New Roman" w:hAnsi="Times New Roman" w:eastAsia="楷体_GB2312" w:cs="Times New Roman"/>
      <w:szCs w:val="24"/>
      <w:lang w:val="en-US" w:eastAsia="zh-CN" w:bidi="ar-SA"/>
    </w:rPr>
  </w:style>
  <w:style w:type="paragraph" w:customStyle="1" w:styleId="360">
    <w:name w:val="Normal_56"/>
    <w:qFormat/>
    <w:uiPriority w:val="0"/>
    <w:pPr>
      <w:widowControl w:val="0"/>
      <w:jc w:val="both"/>
    </w:pPr>
    <w:rPr>
      <w:rFonts w:ascii="Times New Roman" w:hAnsi="Times New Roman" w:eastAsia="楷体_GB2312" w:cs="Times New Roman"/>
      <w:szCs w:val="24"/>
      <w:lang w:val="en-US" w:eastAsia="zh-CN" w:bidi="ar-SA"/>
    </w:rPr>
  </w:style>
  <w:style w:type="paragraph" w:customStyle="1" w:styleId="361">
    <w:name w:val="Normal_57"/>
    <w:qFormat/>
    <w:uiPriority w:val="0"/>
    <w:pPr>
      <w:widowControl w:val="0"/>
      <w:jc w:val="both"/>
    </w:pPr>
    <w:rPr>
      <w:rFonts w:ascii="Times New Roman" w:hAnsi="Times New Roman" w:eastAsia="楷体_GB2312" w:cs="Times New Roman"/>
      <w:szCs w:val="24"/>
      <w:lang w:val="en-US" w:eastAsia="zh-CN" w:bidi="ar-SA"/>
    </w:rPr>
  </w:style>
  <w:style w:type="paragraph" w:customStyle="1" w:styleId="362">
    <w:name w:val="Normal_58"/>
    <w:qFormat/>
    <w:uiPriority w:val="0"/>
    <w:pPr>
      <w:widowControl w:val="0"/>
      <w:jc w:val="both"/>
    </w:pPr>
    <w:rPr>
      <w:rFonts w:ascii="Times New Roman" w:hAnsi="Times New Roman" w:eastAsia="楷体_GB2312" w:cs="Times New Roman"/>
      <w:szCs w:val="24"/>
      <w:lang w:val="en-US" w:eastAsia="zh-CN" w:bidi="ar-SA"/>
    </w:rPr>
  </w:style>
  <w:style w:type="paragraph" w:customStyle="1" w:styleId="363">
    <w:name w:val="Normal_59"/>
    <w:qFormat/>
    <w:uiPriority w:val="0"/>
    <w:pPr>
      <w:widowControl w:val="0"/>
      <w:jc w:val="both"/>
    </w:pPr>
    <w:rPr>
      <w:rFonts w:ascii="Times New Roman" w:hAnsi="Times New Roman" w:eastAsia="楷体_GB2312" w:cs="Times New Roman"/>
      <w:szCs w:val="24"/>
      <w:lang w:val="en-US" w:eastAsia="zh-CN" w:bidi="ar-SA"/>
    </w:rPr>
  </w:style>
  <w:style w:type="paragraph" w:customStyle="1" w:styleId="364">
    <w:name w:val="Normal_60"/>
    <w:qFormat/>
    <w:uiPriority w:val="0"/>
    <w:pPr>
      <w:widowControl w:val="0"/>
      <w:jc w:val="both"/>
    </w:pPr>
    <w:rPr>
      <w:rFonts w:ascii="Times New Roman" w:hAnsi="Times New Roman" w:eastAsia="楷体_GB2312" w:cs="Times New Roman"/>
      <w:szCs w:val="24"/>
      <w:lang w:val="en-US" w:eastAsia="zh-CN" w:bidi="ar-SA"/>
    </w:rPr>
  </w:style>
  <w:style w:type="paragraph" w:customStyle="1" w:styleId="365">
    <w:name w:val="Normal_61"/>
    <w:qFormat/>
    <w:uiPriority w:val="0"/>
    <w:pPr>
      <w:widowControl w:val="0"/>
      <w:jc w:val="both"/>
    </w:pPr>
    <w:rPr>
      <w:rFonts w:ascii="Times New Roman" w:hAnsi="Times New Roman" w:eastAsia="楷体_GB2312" w:cs="Times New Roman"/>
      <w:szCs w:val="24"/>
      <w:lang w:val="en-US" w:eastAsia="zh-CN" w:bidi="ar-SA"/>
    </w:rPr>
  </w:style>
  <w:style w:type="paragraph" w:customStyle="1" w:styleId="366">
    <w:name w:val="Normal_62"/>
    <w:qFormat/>
    <w:uiPriority w:val="0"/>
    <w:pPr>
      <w:widowControl w:val="0"/>
      <w:jc w:val="both"/>
    </w:pPr>
    <w:rPr>
      <w:rFonts w:ascii="Times New Roman" w:hAnsi="Times New Roman" w:eastAsia="楷体_GB2312" w:cs="Times New Roman"/>
      <w:szCs w:val="24"/>
      <w:lang w:val="en-US" w:eastAsia="zh-CN" w:bidi="ar-SA"/>
    </w:rPr>
  </w:style>
  <w:style w:type="paragraph" w:customStyle="1" w:styleId="367">
    <w:name w:val="Normal_63"/>
    <w:qFormat/>
    <w:uiPriority w:val="0"/>
    <w:pPr>
      <w:widowControl w:val="0"/>
      <w:jc w:val="both"/>
    </w:pPr>
    <w:rPr>
      <w:rFonts w:ascii="Times New Roman" w:hAnsi="Times New Roman" w:eastAsia="楷体_GB2312" w:cs="Times New Roman"/>
      <w:szCs w:val="24"/>
      <w:lang w:val="en-US" w:eastAsia="zh-CN" w:bidi="ar-SA"/>
    </w:rPr>
  </w:style>
  <w:style w:type="paragraph" w:customStyle="1" w:styleId="368">
    <w:name w:val="Normal_64"/>
    <w:qFormat/>
    <w:uiPriority w:val="0"/>
    <w:pPr>
      <w:widowControl w:val="0"/>
      <w:jc w:val="both"/>
    </w:pPr>
    <w:rPr>
      <w:rFonts w:ascii="Times New Roman" w:hAnsi="Times New Roman" w:eastAsia="楷体_GB2312" w:cs="Times New Roman"/>
      <w:szCs w:val="24"/>
      <w:lang w:val="en-US" w:eastAsia="zh-CN" w:bidi="ar-SA"/>
    </w:rPr>
  </w:style>
  <w:style w:type="paragraph" w:customStyle="1" w:styleId="369">
    <w:name w:val="Normal_65"/>
    <w:qFormat/>
    <w:uiPriority w:val="0"/>
    <w:pPr>
      <w:widowControl w:val="0"/>
      <w:jc w:val="both"/>
    </w:pPr>
    <w:rPr>
      <w:rFonts w:ascii="Times New Roman" w:hAnsi="Times New Roman" w:eastAsia="楷体_GB2312" w:cs="Times New Roman"/>
      <w:szCs w:val="24"/>
      <w:lang w:val="en-US" w:eastAsia="zh-CN" w:bidi="ar-SA"/>
    </w:rPr>
  </w:style>
  <w:style w:type="paragraph" w:customStyle="1" w:styleId="370">
    <w:name w:val="Normal_66"/>
    <w:qFormat/>
    <w:uiPriority w:val="0"/>
    <w:pPr>
      <w:widowControl w:val="0"/>
      <w:jc w:val="both"/>
    </w:pPr>
    <w:rPr>
      <w:rFonts w:ascii="Times New Roman" w:hAnsi="Times New Roman" w:eastAsia="楷体_GB2312" w:cs="Times New Roman"/>
      <w:szCs w:val="24"/>
      <w:lang w:val="en-US" w:eastAsia="zh-CN" w:bidi="ar-SA"/>
    </w:rPr>
  </w:style>
  <w:style w:type="paragraph" w:customStyle="1" w:styleId="371">
    <w:name w:val="Normal_67"/>
    <w:qFormat/>
    <w:uiPriority w:val="0"/>
    <w:pPr>
      <w:widowControl w:val="0"/>
      <w:jc w:val="both"/>
    </w:pPr>
    <w:rPr>
      <w:rFonts w:ascii="Times New Roman" w:hAnsi="Times New Roman" w:eastAsia="楷体_GB2312" w:cs="Times New Roman"/>
      <w:szCs w:val="24"/>
      <w:lang w:val="en-US" w:eastAsia="zh-CN" w:bidi="ar-SA"/>
    </w:rPr>
  </w:style>
  <w:style w:type="paragraph" w:customStyle="1" w:styleId="372">
    <w:name w:val="Normal_68"/>
    <w:qFormat/>
    <w:uiPriority w:val="0"/>
    <w:pPr>
      <w:widowControl w:val="0"/>
      <w:jc w:val="both"/>
    </w:pPr>
    <w:rPr>
      <w:rFonts w:ascii="Times New Roman" w:hAnsi="Times New Roman" w:eastAsia="楷体_GB2312" w:cs="Times New Roman"/>
      <w:szCs w:val="24"/>
      <w:lang w:val="en-US" w:eastAsia="zh-CN" w:bidi="ar-SA"/>
    </w:rPr>
  </w:style>
  <w:style w:type="paragraph" w:customStyle="1" w:styleId="373">
    <w:name w:val="Normal_69"/>
    <w:qFormat/>
    <w:uiPriority w:val="0"/>
    <w:pPr>
      <w:widowControl w:val="0"/>
      <w:jc w:val="both"/>
    </w:pPr>
    <w:rPr>
      <w:rFonts w:ascii="Times New Roman" w:hAnsi="Times New Roman" w:eastAsia="楷体_GB2312" w:cs="Times New Roman"/>
      <w:szCs w:val="24"/>
      <w:lang w:val="en-US" w:eastAsia="zh-CN" w:bidi="ar-SA"/>
    </w:rPr>
  </w:style>
  <w:style w:type="paragraph" w:customStyle="1" w:styleId="374">
    <w:name w:val="Normal_70"/>
    <w:qFormat/>
    <w:uiPriority w:val="0"/>
    <w:pPr>
      <w:widowControl w:val="0"/>
      <w:jc w:val="both"/>
    </w:pPr>
    <w:rPr>
      <w:rFonts w:ascii="Times New Roman" w:hAnsi="Times New Roman" w:eastAsia="楷体_GB2312" w:cs="Times New Roman"/>
      <w:szCs w:val="24"/>
      <w:lang w:val="en-US" w:eastAsia="zh-CN" w:bidi="ar-SA"/>
    </w:rPr>
  </w:style>
  <w:style w:type="paragraph" w:customStyle="1" w:styleId="375">
    <w:name w:val="Normal_71"/>
    <w:qFormat/>
    <w:uiPriority w:val="0"/>
    <w:pPr>
      <w:widowControl w:val="0"/>
      <w:jc w:val="both"/>
    </w:pPr>
    <w:rPr>
      <w:rFonts w:ascii="Times New Roman" w:hAnsi="Times New Roman" w:eastAsia="楷体_GB2312" w:cs="Times New Roman"/>
      <w:szCs w:val="24"/>
      <w:lang w:val="en-US" w:eastAsia="zh-CN" w:bidi="ar-SA"/>
    </w:rPr>
  </w:style>
  <w:style w:type="paragraph" w:customStyle="1" w:styleId="376">
    <w:name w:val="Normal_72"/>
    <w:qFormat/>
    <w:uiPriority w:val="0"/>
    <w:pPr>
      <w:widowControl w:val="0"/>
      <w:jc w:val="both"/>
    </w:pPr>
    <w:rPr>
      <w:rFonts w:ascii="Times New Roman" w:hAnsi="Times New Roman" w:eastAsia="楷体_GB2312" w:cs="Times New Roman"/>
      <w:szCs w:val="24"/>
      <w:lang w:val="en-US" w:eastAsia="zh-CN" w:bidi="ar-SA"/>
    </w:rPr>
  </w:style>
  <w:style w:type="paragraph" w:customStyle="1" w:styleId="377">
    <w:name w:val="Normal_73"/>
    <w:qFormat/>
    <w:uiPriority w:val="0"/>
    <w:pPr>
      <w:widowControl w:val="0"/>
      <w:jc w:val="both"/>
    </w:pPr>
    <w:rPr>
      <w:rFonts w:ascii="Times New Roman" w:hAnsi="Times New Roman" w:eastAsia="楷体_GB2312" w:cs="Times New Roman"/>
      <w:szCs w:val="24"/>
      <w:lang w:val="en-US" w:eastAsia="zh-CN" w:bidi="ar-SA"/>
    </w:rPr>
  </w:style>
  <w:style w:type="paragraph" w:customStyle="1" w:styleId="378">
    <w:name w:val="Normal_74"/>
    <w:qFormat/>
    <w:uiPriority w:val="0"/>
    <w:pPr>
      <w:widowControl w:val="0"/>
      <w:jc w:val="both"/>
    </w:pPr>
    <w:rPr>
      <w:rFonts w:ascii="Times New Roman" w:hAnsi="Times New Roman" w:eastAsia="楷体_GB2312" w:cs="Times New Roman"/>
      <w:szCs w:val="24"/>
      <w:lang w:val="en-US" w:eastAsia="zh-CN" w:bidi="ar-SA"/>
    </w:rPr>
  </w:style>
  <w:style w:type="paragraph" w:customStyle="1" w:styleId="379">
    <w:name w:val="Normal_75"/>
    <w:qFormat/>
    <w:uiPriority w:val="0"/>
    <w:pPr>
      <w:widowControl w:val="0"/>
      <w:jc w:val="both"/>
    </w:pPr>
    <w:rPr>
      <w:rFonts w:ascii="Times New Roman" w:hAnsi="Times New Roman" w:eastAsia="楷体_GB2312" w:cs="Times New Roman"/>
      <w:szCs w:val="24"/>
      <w:lang w:val="en-US" w:eastAsia="zh-CN" w:bidi="ar-SA"/>
    </w:rPr>
  </w:style>
  <w:style w:type="paragraph" w:customStyle="1" w:styleId="380">
    <w:name w:val="Normal_76"/>
    <w:qFormat/>
    <w:uiPriority w:val="0"/>
    <w:pPr>
      <w:widowControl w:val="0"/>
      <w:jc w:val="both"/>
    </w:pPr>
    <w:rPr>
      <w:rFonts w:ascii="Times New Roman" w:hAnsi="Times New Roman" w:eastAsia="楷体_GB2312" w:cs="Times New Roman"/>
      <w:szCs w:val="24"/>
      <w:lang w:val="en-US" w:eastAsia="zh-CN" w:bidi="ar-SA"/>
    </w:rPr>
  </w:style>
  <w:style w:type="paragraph" w:customStyle="1" w:styleId="381">
    <w:name w:val="Normal_77"/>
    <w:qFormat/>
    <w:uiPriority w:val="0"/>
    <w:pPr>
      <w:widowControl w:val="0"/>
      <w:jc w:val="both"/>
    </w:pPr>
    <w:rPr>
      <w:rFonts w:ascii="Times New Roman" w:hAnsi="Times New Roman" w:eastAsia="楷体_GB2312" w:cs="Times New Roman"/>
      <w:szCs w:val="24"/>
      <w:lang w:val="en-US" w:eastAsia="zh-CN" w:bidi="ar-SA"/>
    </w:rPr>
  </w:style>
  <w:style w:type="paragraph" w:customStyle="1" w:styleId="382">
    <w:name w:val="Normal_78"/>
    <w:qFormat/>
    <w:uiPriority w:val="0"/>
    <w:pPr>
      <w:widowControl w:val="0"/>
      <w:jc w:val="both"/>
    </w:pPr>
    <w:rPr>
      <w:rFonts w:ascii="Times New Roman" w:hAnsi="Times New Roman" w:eastAsia="楷体_GB2312" w:cs="Times New Roman"/>
      <w:szCs w:val="24"/>
      <w:lang w:val="en-US" w:eastAsia="zh-CN" w:bidi="ar-SA"/>
    </w:rPr>
  </w:style>
  <w:style w:type="paragraph" w:customStyle="1" w:styleId="383">
    <w:name w:val="Normal_79"/>
    <w:qFormat/>
    <w:uiPriority w:val="0"/>
    <w:pPr>
      <w:widowControl w:val="0"/>
      <w:jc w:val="both"/>
    </w:pPr>
    <w:rPr>
      <w:rFonts w:ascii="Times New Roman" w:hAnsi="Times New Roman" w:eastAsia="楷体_GB2312" w:cs="Times New Roman"/>
      <w:szCs w:val="24"/>
      <w:lang w:val="en-US" w:eastAsia="zh-CN" w:bidi="ar-SA"/>
    </w:rPr>
  </w:style>
  <w:style w:type="paragraph" w:customStyle="1" w:styleId="384">
    <w:name w:val="Normal_80"/>
    <w:qFormat/>
    <w:uiPriority w:val="0"/>
    <w:pPr>
      <w:widowControl w:val="0"/>
      <w:jc w:val="both"/>
    </w:pPr>
    <w:rPr>
      <w:rFonts w:ascii="Times New Roman" w:hAnsi="Times New Roman" w:eastAsia="楷体_GB2312" w:cs="Times New Roman"/>
      <w:szCs w:val="24"/>
      <w:lang w:val="en-US" w:eastAsia="zh-CN" w:bidi="ar-SA"/>
    </w:rPr>
  </w:style>
  <w:style w:type="paragraph" w:customStyle="1" w:styleId="385">
    <w:name w:val="Normal_81"/>
    <w:qFormat/>
    <w:uiPriority w:val="0"/>
    <w:pPr>
      <w:widowControl w:val="0"/>
      <w:jc w:val="both"/>
    </w:pPr>
    <w:rPr>
      <w:rFonts w:ascii="Times New Roman" w:hAnsi="Times New Roman" w:eastAsia="楷体_GB2312" w:cs="Times New Roman"/>
      <w:szCs w:val="24"/>
      <w:lang w:val="en-US" w:eastAsia="zh-CN" w:bidi="ar-SA"/>
    </w:rPr>
  </w:style>
  <w:style w:type="paragraph" w:customStyle="1" w:styleId="386">
    <w:name w:val="Normal_82"/>
    <w:qFormat/>
    <w:uiPriority w:val="0"/>
    <w:pPr>
      <w:widowControl w:val="0"/>
      <w:jc w:val="both"/>
    </w:pPr>
    <w:rPr>
      <w:rFonts w:ascii="Times New Roman" w:hAnsi="Times New Roman" w:eastAsia="楷体_GB2312" w:cs="Times New Roman"/>
      <w:szCs w:val="24"/>
      <w:lang w:val="en-US" w:eastAsia="zh-CN" w:bidi="ar-SA"/>
    </w:rPr>
  </w:style>
  <w:style w:type="paragraph" w:customStyle="1" w:styleId="387">
    <w:name w:val="Normal_83"/>
    <w:qFormat/>
    <w:uiPriority w:val="0"/>
    <w:pPr>
      <w:widowControl w:val="0"/>
      <w:jc w:val="both"/>
    </w:pPr>
    <w:rPr>
      <w:rFonts w:ascii="Times New Roman" w:hAnsi="Times New Roman" w:eastAsia="楷体_GB2312" w:cs="Times New Roman"/>
      <w:szCs w:val="24"/>
      <w:lang w:val="en-US" w:eastAsia="zh-CN" w:bidi="ar-SA"/>
    </w:rPr>
  </w:style>
  <w:style w:type="paragraph" w:customStyle="1" w:styleId="388">
    <w:name w:val="Normal_84"/>
    <w:qFormat/>
    <w:uiPriority w:val="0"/>
    <w:pPr>
      <w:widowControl w:val="0"/>
      <w:jc w:val="both"/>
    </w:pPr>
    <w:rPr>
      <w:rFonts w:ascii="Times New Roman" w:hAnsi="Times New Roman" w:eastAsia="楷体_GB2312" w:cs="Times New Roman"/>
      <w:szCs w:val="24"/>
      <w:lang w:val="en-US" w:eastAsia="zh-CN" w:bidi="ar-SA"/>
    </w:rPr>
  </w:style>
  <w:style w:type="paragraph" w:customStyle="1" w:styleId="389">
    <w:name w:val="Normal_85"/>
    <w:qFormat/>
    <w:uiPriority w:val="0"/>
    <w:pPr>
      <w:widowControl w:val="0"/>
      <w:jc w:val="both"/>
    </w:pPr>
    <w:rPr>
      <w:rFonts w:ascii="Times New Roman" w:hAnsi="Times New Roman" w:eastAsia="楷体_GB2312" w:cs="Times New Roman"/>
      <w:szCs w:val="24"/>
      <w:lang w:val="en-US" w:eastAsia="zh-CN" w:bidi="ar-SA"/>
    </w:rPr>
  </w:style>
  <w:style w:type="paragraph" w:customStyle="1" w:styleId="390">
    <w:name w:val="Normal_86"/>
    <w:qFormat/>
    <w:uiPriority w:val="0"/>
    <w:pPr>
      <w:widowControl w:val="0"/>
      <w:jc w:val="both"/>
    </w:pPr>
    <w:rPr>
      <w:rFonts w:ascii="Times New Roman" w:hAnsi="Times New Roman" w:eastAsia="楷体_GB2312" w:cs="Times New Roman"/>
      <w:szCs w:val="24"/>
      <w:lang w:val="en-US" w:eastAsia="zh-CN" w:bidi="ar-SA"/>
    </w:rPr>
  </w:style>
  <w:style w:type="paragraph" w:customStyle="1" w:styleId="391">
    <w:name w:val="Normal_87"/>
    <w:qFormat/>
    <w:uiPriority w:val="0"/>
    <w:pPr>
      <w:widowControl w:val="0"/>
      <w:jc w:val="both"/>
    </w:pPr>
    <w:rPr>
      <w:rFonts w:ascii="Times New Roman" w:hAnsi="Times New Roman" w:eastAsia="楷体_GB2312" w:cs="Times New Roman"/>
      <w:szCs w:val="24"/>
      <w:lang w:val="en-US" w:eastAsia="zh-CN" w:bidi="ar-SA"/>
    </w:rPr>
  </w:style>
  <w:style w:type="paragraph" w:customStyle="1" w:styleId="392">
    <w:name w:val="Normal_88"/>
    <w:qFormat/>
    <w:uiPriority w:val="0"/>
    <w:pPr>
      <w:widowControl w:val="0"/>
      <w:jc w:val="both"/>
    </w:pPr>
    <w:rPr>
      <w:rFonts w:ascii="Times New Roman" w:hAnsi="Times New Roman" w:eastAsia="楷体_GB2312" w:cs="Times New Roman"/>
      <w:szCs w:val="24"/>
      <w:lang w:val="en-US" w:eastAsia="zh-CN" w:bidi="ar-SA"/>
    </w:rPr>
  </w:style>
  <w:style w:type="paragraph" w:customStyle="1" w:styleId="393">
    <w:name w:val="Normal_89"/>
    <w:qFormat/>
    <w:uiPriority w:val="0"/>
    <w:pPr>
      <w:widowControl w:val="0"/>
      <w:jc w:val="both"/>
    </w:pPr>
    <w:rPr>
      <w:rFonts w:ascii="Times New Roman" w:hAnsi="Times New Roman" w:eastAsia="楷体_GB2312" w:cs="Times New Roman"/>
      <w:szCs w:val="24"/>
      <w:lang w:val="en-US" w:eastAsia="zh-CN" w:bidi="ar-SA"/>
    </w:rPr>
  </w:style>
  <w:style w:type="paragraph" w:customStyle="1" w:styleId="394">
    <w:name w:val="Normal_90"/>
    <w:qFormat/>
    <w:uiPriority w:val="0"/>
    <w:pPr>
      <w:widowControl w:val="0"/>
      <w:jc w:val="both"/>
    </w:pPr>
    <w:rPr>
      <w:rFonts w:ascii="Times New Roman" w:hAnsi="Times New Roman" w:eastAsia="楷体_GB2312" w:cs="Times New Roman"/>
      <w:szCs w:val="24"/>
      <w:lang w:val="en-US" w:eastAsia="zh-CN" w:bidi="ar-SA"/>
    </w:rPr>
  </w:style>
  <w:style w:type="paragraph" w:customStyle="1" w:styleId="395">
    <w:name w:val="Normal_91"/>
    <w:qFormat/>
    <w:uiPriority w:val="0"/>
    <w:pPr>
      <w:widowControl w:val="0"/>
      <w:jc w:val="both"/>
    </w:pPr>
    <w:rPr>
      <w:rFonts w:ascii="Times New Roman" w:hAnsi="Times New Roman" w:eastAsia="楷体_GB2312" w:cs="Times New Roman"/>
      <w:szCs w:val="24"/>
      <w:lang w:val="en-US" w:eastAsia="zh-CN" w:bidi="ar-SA"/>
    </w:rPr>
  </w:style>
  <w:style w:type="paragraph" w:customStyle="1" w:styleId="396">
    <w:name w:val="Normal_92"/>
    <w:qFormat/>
    <w:uiPriority w:val="0"/>
    <w:pPr>
      <w:widowControl w:val="0"/>
      <w:jc w:val="both"/>
    </w:pPr>
    <w:rPr>
      <w:rFonts w:ascii="Times New Roman" w:hAnsi="Times New Roman" w:eastAsia="楷体_GB2312" w:cs="Times New Roman"/>
      <w:szCs w:val="24"/>
      <w:lang w:val="en-US" w:eastAsia="zh-CN" w:bidi="ar-SA"/>
    </w:rPr>
  </w:style>
  <w:style w:type="paragraph" w:customStyle="1" w:styleId="397">
    <w:name w:val="Normal_93"/>
    <w:qFormat/>
    <w:uiPriority w:val="0"/>
    <w:pPr>
      <w:widowControl w:val="0"/>
      <w:jc w:val="both"/>
    </w:pPr>
    <w:rPr>
      <w:rFonts w:ascii="Times New Roman" w:hAnsi="Times New Roman" w:eastAsia="楷体_GB2312" w:cs="Times New Roman"/>
      <w:szCs w:val="24"/>
      <w:lang w:val="en-US" w:eastAsia="zh-CN" w:bidi="ar-SA"/>
    </w:rPr>
  </w:style>
  <w:style w:type="paragraph" w:customStyle="1" w:styleId="398">
    <w:name w:val="Normal_94"/>
    <w:qFormat/>
    <w:uiPriority w:val="0"/>
    <w:pPr>
      <w:widowControl w:val="0"/>
      <w:jc w:val="both"/>
    </w:pPr>
    <w:rPr>
      <w:rFonts w:ascii="Times New Roman" w:hAnsi="Times New Roman" w:eastAsia="楷体_GB2312" w:cs="Times New Roman"/>
      <w:szCs w:val="24"/>
      <w:lang w:val="en-US" w:eastAsia="zh-CN" w:bidi="ar-SA"/>
    </w:rPr>
  </w:style>
  <w:style w:type="paragraph" w:customStyle="1" w:styleId="399">
    <w:name w:val="Normal_95"/>
    <w:qFormat/>
    <w:uiPriority w:val="0"/>
    <w:pPr>
      <w:widowControl w:val="0"/>
      <w:jc w:val="both"/>
    </w:pPr>
    <w:rPr>
      <w:rFonts w:ascii="Times New Roman" w:hAnsi="Times New Roman" w:eastAsia="楷体_GB2312" w:cs="Times New Roman"/>
      <w:szCs w:val="24"/>
      <w:lang w:val="en-US" w:eastAsia="zh-CN" w:bidi="ar-SA"/>
    </w:rPr>
  </w:style>
  <w:style w:type="paragraph" w:customStyle="1" w:styleId="400">
    <w:name w:val="Normal_96"/>
    <w:qFormat/>
    <w:uiPriority w:val="0"/>
    <w:pPr>
      <w:widowControl w:val="0"/>
      <w:jc w:val="both"/>
    </w:pPr>
    <w:rPr>
      <w:rFonts w:ascii="Times New Roman" w:hAnsi="Times New Roman" w:eastAsia="楷体_GB2312" w:cs="Times New Roman"/>
      <w:szCs w:val="24"/>
      <w:lang w:val="en-US" w:eastAsia="zh-CN" w:bidi="ar-SA"/>
    </w:rPr>
  </w:style>
  <w:style w:type="paragraph" w:customStyle="1" w:styleId="401">
    <w:name w:val="Normal_167"/>
    <w:qFormat/>
    <w:uiPriority w:val="0"/>
    <w:rPr>
      <w:rFonts w:ascii="Times New Roman" w:hAnsi="Times New Roman" w:eastAsia="Times New Roman" w:cs="Times New Roman"/>
      <w:sz w:val="24"/>
      <w:szCs w:val="24"/>
      <w:lang w:val="en-US" w:eastAsia="zh-CN" w:bidi="ar-SA"/>
    </w:rPr>
  </w:style>
  <w:style w:type="paragraph" w:customStyle="1" w:styleId="402">
    <w:name w:val="三级标题"/>
    <w:basedOn w:val="1"/>
    <w:qFormat/>
    <w:uiPriority w:val="0"/>
    <w:pPr>
      <w:spacing w:line="360" w:lineRule="auto"/>
      <w:ind w:firstLine="200" w:firstLineChars="200"/>
      <w:jc w:val="left"/>
    </w:pPr>
    <w:rPr>
      <w:rFonts w:ascii="仿宋" w:hAnsi="仿宋" w:eastAsia="仿宋"/>
      <w:color w:val="000000"/>
      <w:sz w:val="24"/>
    </w:rPr>
  </w:style>
  <w:style w:type="paragraph" w:customStyle="1" w:styleId="403">
    <w:name w:val="正文自建"/>
    <w:basedOn w:val="1"/>
    <w:qFormat/>
    <w:uiPriority w:val="0"/>
    <w:pPr>
      <w:spacing w:line="360" w:lineRule="auto"/>
      <w:ind w:firstLine="200" w:firstLineChars="200"/>
    </w:pPr>
    <w:rPr>
      <w:rFonts w:ascii="仿宋" w:hAnsi="仿宋" w:eastAsia="仿宋"/>
      <w:color w:val="000000"/>
      <w:sz w:val="24"/>
    </w:rPr>
  </w:style>
  <w:style w:type="paragraph" w:customStyle="1" w:styleId="404">
    <w:name w:val="修订2"/>
    <w:qFormat/>
    <w:uiPriority w:val="99"/>
    <w:rPr>
      <w:rFonts w:ascii="Times New Roman" w:hAnsi="Times New Roman" w:eastAsia="宋体" w:cs="Times New Roman"/>
      <w:kern w:val="2"/>
      <w:sz w:val="21"/>
      <w:szCs w:val="24"/>
      <w:lang w:val="en-US" w:eastAsia="zh-CN" w:bidi="ar-SA"/>
    </w:rPr>
  </w:style>
  <w:style w:type="paragraph" w:customStyle="1" w:styleId="405">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character" w:customStyle="1" w:styleId="406">
    <w:name w:val="纯文本 字符1"/>
    <w:qFormat/>
    <w:uiPriority w:val="0"/>
    <w:rPr>
      <w:rFonts w:ascii="宋体" w:hAnsi="Courier New" w:eastAsia="宋体" w:cs="Courier New"/>
      <w:kern w:val="2"/>
      <w:sz w:val="21"/>
      <w:szCs w:val="21"/>
      <w:lang w:val="en-US" w:eastAsia="zh-CN" w:bidi="ar-SA"/>
    </w:rPr>
  </w:style>
  <w:style w:type="paragraph" w:customStyle="1" w:styleId="407">
    <w:name w:val="文章正文"/>
    <w:basedOn w:val="1"/>
    <w:qFormat/>
    <w:uiPriority w:val="0"/>
    <w:pPr>
      <w:adjustRightInd w:val="0"/>
      <w:snapToGrid w:val="0"/>
      <w:spacing w:beforeLines="100" w:line="360" w:lineRule="auto"/>
      <w:ind w:firstLine="200" w:firstLineChars="200"/>
    </w:pPr>
    <w:rPr>
      <w:sz w:val="24"/>
      <w:szCs w:val="22"/>
    </w:rPr>
  </w:style>
  <w:style w:type="character" w:customStyle="1" w:styleId="408">
    <w:name w:val="font31"/>
    <w:basedOn w:val="39"/>
    <w:uiPriority w:val="0"/>
    <w:rPr>
      <w:rFonts w:hint="eastAsia" w:ascii="宋体" w:hAnsi="宋体" w:eastAsia="宋体" w:cs="宋体"/>
      <w:color w:val="000000"/>
      <w:sz w:val="18"/>
      <w:szCs w:val="18"/>
      <w:u w:val="none"/>
    </w:rPr>
  </w:style>
  <w:style w:type="character" w:customStyle="1" w:styleId="409">
    <w:name w:val="font71"/>
    <w:basedOn w:val="39"/>
    <w:qFormat/>
    <w:uiPriority w:val="0"/>
    <w:rPr>
      <w:rFonts w:hint="eastAsia" w:ascii="宋体" w:hAnsi="宋体" w:eastAsia="宋体" w:cs="宋体"/>
      <w:color w:val="000000"/>
      <w:sz w:val="18"/>
      <w:szCs w:val="18"/>
      <w:u w:val="none"/>
    </w:rPr>
  </w:style>
  <w:style w:type="character" w:customStyle="1" w:styleId="410">
    <w:name w:val="font11"/>
    <w:basedOn w:val="39"/>
    <w:qFormat/>
    <w:uiPriority w:val="0"/>
    <w:rPr>
      <w:rFonts w:hint="eastAsia" w:ascii="宋体" w:hAnsi="宋体" w:eastAsia="宋体" w:cs="宋体"/>
      <w:color w:val="000000"/>
      <w:sz w:val="18"/>
      <w:szCs w:val="18"/>
      <w:u w:val="none"/>
    </w:rPr>
  </w:style>
  <w:style w:type="character" w:customStyle="1" w:styleId="411">
    <w:name w:val="font21"/>
    <w:basedOn w:val="39"/>
    <w:uiPriority w:val="0"/>
    <w:rPr>
      <w:rFonts w:hint="eastAsia" w:ascii="宋体" w:hAnsi="宋体" w:eastAsia="宋体" w:cs="宋体"/>
      <w:color w:val="FF0000"/>
      <w:sz w:val="18"/>
      <w:szCs w:val="18"/>
      <w:u w:val="none"/>
    </w:rPr>
  </w:style>
  <w:style w:type="paragraph" w:customStyle="1" w:styleId="412">
    <w:name w:val="正文文本11"/>
    <w:basedOn w:val="1"/>
    <w:next w:val="413"/>
    <w:qFormat/>
    <w:uiPriority w:val="0"/>
    <w:rPr>
      <w:rFonts w:ascii="楷体_GB2312" w:hAnsi="Arial" w:eastAsia="楷体_GB2312"/>
      <w:sz w:val="28"/>
      <w:szCs w:val="28"/>
    </w:rPr>
  </w:style>
  <w:style w:type="paragraph" w:customStyle="1" w:styleId="413">
    <w:name w:val="正文文本 21"/>
    <w:basedOn w:val="1"/>
    <w:next w:val="414"/>
    <w:qFormat/>
    <w:uiPriority w:val="99"/>
    <w:pPr>
      <w:widowControl/>
      <w:autoSpaceDE w:val="0"/>
      <w:autoSpaceDN w:val="0"/>
      <w:ind w:left="720" w:firstLine="5680"/>
    </w:pPr>
  </w:style>
  <w:style w:type="paragraph" w:customStyle="1" w:styleId="414">
    <w:name w:val="默认段落字体 Para Char Char Char Char Char Char Char"/>
    <w:basedOn w:val="1"/>
    <w:next w:val="415"/>
    <w:qFormat/>
    <w:uiPriority w:val="99"/>
    <w:pPr>
      <w:ind w:firstLine="200" w:firstLineChars="200"/>
    </w:pPr>
    <w:rPr>
      <w:rFonts w:cs="Arial"/>
    </w:rPr>
  </w:style>
  <w:style w:type="paragraph" w:customStyle="1" w:styleId="415">
    <w:name w:val="样式 首行缩进:  2 字符"/>
    <w:basedOn w:val="1"/>
    <w:next w:val="416"/>
    <w:qFormat/>
    <w:uiPriority w:val="99"/>
    <w:pPr>
      <w:spacing w:line="360" w:lineRule="auto"/>
      <w:ind w:left="480" w:firstLine="5856"/>
    </w:pPr>
  </w:style>
  <w:style w:type="paragraph" w:customStyle="1" w:styleId="416">
    <w:name w:val="样式 段后: 0.25 行"/>
    <w:basedOn w:val="1"/>
    <w:next w:val="417"/>
    <w:qFormat/>
    <w:uiPriority w:val="99"/>
    <w:pPr>
      <w:widowControl/>
      <w:spacing w:line="300" w:lineRule="auto"/>
      <w:ind w:left="420" w:firstLine="5796"/>
    </w:pPr>
  </w:style>
  <w:style w:type="paragraph" w:customStyle="1" w:styleId="417">
    <w:name w:val="正文 New New New New New New New New New New New New New New"/>
    <w:next w:val="28"/>
    <w:qFormat/>
    <w:uiPriority w:val="99"/>
    <w:pPr>
      <w:widowControl w:val="0"/>
      <w:ind w:firstLine="2048"/>
      <w:jc w:val="both"/>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9585A0AC-5ADC-49AD-B26C-141D7FDD48C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50</Pages>
  <Words>27430</Words>
  <Characters>30027</Characters>
  <Lines>237</Lines>
  <Paragraphs>66</Paragraphs>
  <TotalTime>4</TotalTime>
  <ScaleCrop>false</ScaleCrop>
  <LinksUpToDate>false</LinksUpToDate>
  <CharactersWithSpaces>31692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2024-07-15T12:43:00Z</dcterms:created>
  <dc:creator>刘璨</dc:creator>
  <cp:lastModifiedBy>刘宏志</cp:lastModifiedBy>
  <cp:lastPrinted>2024-07-15T06:56:00Z</cp:lastPrinted>
  <dcterms:modified xsi:type="dcterms:W3CDTF">2024-07-16T06:46:47Z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5AF762A5DB8042BEA5F728FFBE7069D6_13</vt:lpwstr>
  </property>
</Properties>
</file>